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tbl>
      <w:tblPr>
        <w:tblW w:w="5000" w:type="pct"/>
        <w:jc w:val="left"/>
        <w:tblInd w:w="55" w:type="dxa"/>
        <w:tblLayout w:type="fixed"/>
        <w:tblCellMar>
          <w:top w:w="55" w:type="dxa"/>
          <w:left w:w="55" w:type="dxa"/>
          <w:bottom w:w="55" w:type="dxa"/>
          <w:right w:w="55" w:type="dxa"/>
        </w:tblCellMar>
      </w:tblPr>
      <w:tblGrid>
        <w:gridCol w:w="654"/>
        <w:gridCol w:w="1217"/>
        <w:gridCol w:w="7484"/>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21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484"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CAPITOL</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Cuprins</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generale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Acordarea E.I.P. și acordarea materialelor igienico-sanitare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Semnalizarea</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Prezentarea factorilor de risc de accidentare și îmbolnăvire profesională în sistemul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maternității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Informarea, consultarea, instruirea și participarea lucrătorilor privind activitățile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Consecințele posibile ale necunoașterii și nerespectării legislației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acordare a primului ajutor la nivelul unității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prevenire și stingere a incendiilor și evacuarea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legate de circulația pe drumurile publice a vehiculelor, pietonilor și a celorlalte categorii de participanți la trafic.</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Riscurile de accidentare și îmbolnăvire profesională specifice unității</w:t>
            </w:r>
          </w:p>
        </w:tc>
      </w:tr>
    </w:tbl>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au ca scop </w:t>
      </w:r>
      <w:r>
        <w:rPr>
          <w:rStyle w:val="tpa1"/>
          <w:rFonts w:eastAsia="Arial" w:cs="Arial" w:ascii="Arial" w:hAnsi="Arial"/>
          <w:i/>
          <w:color w:val="auto"/>
          <w:spacing w:val="0"/>
          <w:w w:val="100"/>
          <w:sz w:val="20"/>
          <w:szCs w:val="20"/>
          <w:lang w:val="ro-RO"/>
        </w:rPr>
        <w:t xml:space="preserve">informarea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w:t>
      </w:r>
      <w:r>
        <w:rPr>
          <w:rFonts w:eastAsia="Arial" w:cs="Arial" w:ascii="Arial" w:hAnsi="Arial"/>
          <w:bCs/>
          <w:i/>
          <w:color w:val="auto"/>
          <w:spacing w:val="0"/>
          <w:w w:val="100"/>
          <w:sz w:val="20"/>
          <w:szCs w:val="20"/>
          <w:lang w:val="ro-RO"/>
        </w:rPr>
        <w:t xml:space="preserve"> 319/2016.</w:t>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afară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afară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 fie se semnalizează prezenta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competența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competența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w:t>
      </w:r>
    </w:p>
    <w:p>
      <w:pPr>
        <w:pStyle w:val="Normal"/>
        <w:widowControl/>
        <w:spacing w:before="0" w:after="40"/>
        <w:ind w:left="360"/>
        <w:jc w:val="left"/>
        <w:rPr>
          <w:rFonts w:ascii="Arial" w:hAnsi="Arial" w:cs="Arial"/>
          <w:sz w:val="18"/>
          <w:szCs w:val="18"/>
          <w:lang w:val="it-IT"/>
        </w:rPr>
      </w:pP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sub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să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Lucrătorul este obligat să se prezinte la examenele medicale de supraveghere a sănătății la locul de muncă, conform planificării efectuate de către medicul de medicina muncii</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La schimbarea locului de muncă în altă unitate, lucrătorului i se vor înmâna, la solicitare, copii ale dosarului său medical și ale fișei de expunere la riscuri profesionale, pentru a fi predate</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afară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afară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această prevedere nu se aplică dacă lucrătorii sun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Echipamente de prim ajutor:</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Locuri de muncă în aer liber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Principii ergonomice:</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Ațele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val="false"/>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MÂNUI</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natură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afară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Ținerii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Ținerii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w:t>
      </w:r>
    </w:p>
    <w:p>
      <w:pPr>
        <w:pStyle w:val="Heading2"/>
        <w:widowControl/>
        <w:tabs>
          <w:tab w:val="clear" w:pos="504"/>
        </w:tabs>
        <w:spacing w:before="0" w:after="120"/>
        <w:ind w:hanging="0" w:left="0"/>
        <w:jc w:val="left"/>
        <w:rPr>
          <w:rFonts w:ascii="Arial" w:hAnsi="Arial" w:cs="Arial"/>
          <w:sz w:val="18"/>
          <w:szCs w:val="18"/>
          <w:lang w:val="it-CH"/>
        </w:rPr>
      </w:pPr>
      <w:r>
        <w:rPr>
          <w:rFonts w:eastAsia="Arial" w:cs="Arial" w:ascii="Arial" w:hAnsi="Arial"/>
          <w:color w:val="auto"/>
          <w:spacing w:val="0"/>
          <w:w w:val="100"/>
          <w:sz w:val="20"/>
          <w:szCs w:val="20"/>
          <w:lang w:val="ro-RO"/>
        </w:rPr>
        <w:t>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afară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comunică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modifică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comunică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comunică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evidența,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evidența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funcționării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urgența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natură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să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ordonanta de urgența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ordonanta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să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schimbă locul de muncă al salariatei respective.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muncă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muncă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salariată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salariată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afară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Heading1"/>
        <w:widowControl/>
        <w:numPr>
          <w:ilvl w:val="0"/>
          <w:numId w:val="0"/>
        </w:numPr>
        <w:spacing w:before="0" w:after="120"/>
        <w:ind w:hanging="0" w:left="0"/>
        <w:jc w:val="left"/>
        <w:rPr>
          <w:rStyle w:val="tli1"/>
          <w:b w:val="false"/>
          <w:bCs w:val="false"/>
          <w:sz w:val="18"/>
          <w:szCs w:val="18"/>
          <w:lang w:val="it-IT"/>
        </w:rPr>
      </w:pP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80^1.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ListParagraph"/>
        <w:widowControl/>
        <w:numPr>
          <w:ilvl w:val="0"/>
          <w:numId w:val="0"/>
        </w:numPr>
        <w:spacing w:before="0" w:after="60"/>
        <w:ind w:hanging="0" w:left="0"/>
        <w:contextualSpacing/>
        <w:jc w:val="left"/>
        <w:rPr>
          <w:rStyle w:val="tli1"/>
          <w:rFonts w:ascii="Arial" w:hAnsi="Arial" w:cs="Arial"/>
          <w:bCs/>
          <w:sz w:val="18"/>
          <w:szCs w:val="18"/>
          <w:lang w:val="ro-RO"/>
        </w:rPr>
      </w:pP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val="false"/>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câte șeful ierarhic superior celui care a făcut instruirea și se consemnează în fișa de instruire individuală.</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473"/>
        <w:gridCol w:w="6882"/>
      </w:tblGrid>
      <w:tr>
        <w:trPr>
          <w:tblHeader w:val="true"/>
          <w:trHeight w:val="1248" w:hRule="atLeast"/>
          <w:cantSplit/>
        </w:trPr>
        <w:tc>
          <w:tcPr>
            <w:tcW w:w="2473"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tc>
        <w:tc>
          <w:tcPr>
            <w:tcW w:w="68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0"/>
              <w:rPr>
                <w:rFonts w:ascii="Arial" w:hAnsi="Arial" w:cs="Arial"/>
                <w:bCs/>
                <w:sz w:val="18"/>
                <w:szCs w:val="18"/>
                <w:lang w:val="da-DK"/>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0"/>
              <w:jc w:val="left"/>
              <w:rPr>
                <w:rFonts w:ascii="Arial" w:hAnsi="Arial" w:cs="Arial"/>
                <w:bCs/>
                <w:sz w:val="18"/>
                <w:szCs w:val="18"/>
                <w:lang w:val="da-DK"/>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752"/>
        <w:gridCol w:w="7603"/>
      </w:tblGrid>
      <w:tr>
        <w:trPr>
          <w:tblHeader w:val="true"/>
          <w:trHeight w:val="523" w:hRule="atLeast"/>
          <w:cantSplit/>
        </w:trPr>
        <w:tc>
          <w:tcPr>
            <w:tcW w:w="175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tc>
        <w:tc>
          <w:tcPr>
            <w:tcW w:w="76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i/>
                <w:sz w:val="18"/>
                <w:szCs w:val="18"/>
                <w:lang w:val="da-DK"/>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0"/>
              <w:jc w:val="left"/>
              <w:rPr>
                <w:rFonts w:ascii="Arial" w:hAnsi="Arial" w:cs="Arial"/>
                <w:i/>
                <w:sz w:val="18"/>
                <w:szCs w:val="18"/>
                <w:lang w:val="da-DK"/>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0"/>
              <w:jc w:val="left"/>
              <w:rPr>
                <w:rFonts w:ascii="Arial" w:hAnsi="Arial" w:cs="Arial"/>
                <w:bCs/>
                <w:sz w:val="18"/>
                <w:szCs w:val="18"/>
                <w:lang w:val="da-DK"/>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ordonanta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 a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val="false"/>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 și nivel cu lumina verde normală a semaforului, sub forma unei săgeți verzi pe fond negru, cu vârful spre dreapta, aprinderea acesteia semnifica permisiunea pentru vehicule de a- și continuă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tru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