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319/2006.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Tinerii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urgență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ordonanța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către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același nivel cu lumina verde normală a semaforului, sub forma unei săgeți verzi pe fond negru, cu vârful spre dreapta, aprinderea acesteia semnifica permisiunea pentru vehicule de a-și continua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