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fals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la locul de muncă și instruirea periodică pentru șefii locului de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{{#workplaceManagers}</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{{name}}, având </w:t>
      </w:r>
      <w:r>
        <w:rPr>
          <w:rFonts w:eastAsia="Arial" w:cs="Arial" w:ascii="Arial" w:hAnsi="Arial"/>
          <w:color w:val="auto"/>
          <w:spacing w:val="0"/>
          <w:w w:val="100"/>
          <w:sz w:val="20"/>
          <w:szCs w:val="20"/>
          <w:lang w:val="ro-RO"/>
        </w:rPr>
        <w:t>funcția de {{jobT</w:t>
      </w:r>
      <w:r>
        <w:rPr>
          <w:rFonts w:eastAsia="Arial" w:cs="Arial" w:ascii="Arial" w:hAnsi="Arial"/>
          <w:color w:val="auto"/>
          <w:spacing w:val="0"/>
          <w:w w:val="100"/>
          <w:sz w:val="20"/>
          <w:szCs w:val="20"/>
          <w:lang w:val="ro-RO"/>
        </w:rPr>
        <w:t>itle}} în cadrul societății; {{/workplaceManagers}}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{{name}} având funcția de {{jobTitle}} va efectua instruirea la locul de muncă și instruirea periodică pentru întreg personalul din cadrul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120"/>
        <w:jc w:val="left"/>
        <w:rPr>
          <w:rFonts w:ascii="Arial" w:hAnsi="Arial" w:cs="Arial"/>
          <w:b/>
          <w:sz w:val="20"/>
          <w:szCs w:val="20"/>
        </w:rPr>
      </w:pPr>
      <w:r>
        <w:rPr>
          <w:rFonts w:eastAsia="Arial" w:cs="Arial" w:ascii="Arial" w:hAnsi="Arial"/>
          <w:b/>
          <w:bCs/>
          <w:color w:val="auto"/>
          <w:spacing w:val="0"/>
          <w:w w:val="100"/>
          <w:sz w:val="20"/>
          <w:szCs w:val="20"/>
          <w:lang w:val="ro-RO"/>
        </w:rPr>
        <w:t>{{/workplaceManagers}}</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executa astfel:</w:t>
      </w:r>
    </w:p>
    <w:p>
      <w:pPr>
        <w:pStyle w:val="Normal"/>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Conf. H.G. 767/ 2016 - Durata instruirii introductiv-generale nu va fi mai mică de 4 ore;</w:t>
      </w:r>
    </w:p>
    <w:p>
      <w:pPr>
        <w:pStyle w:val="Normal"/>
        <w:widowControl/>
        <w:numPr>
          <w:ilvl w:val="0"/>
          <w:numId w:val="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Conf. H.G. 767/ 2016 pct.4 - Durata instruirii la locul de muncă nu va fi mai mică de 4 ore;</w:t>
      </w:r>
    </w:p>
    <w:p>
      <w:pPr>
        <w:pStyle w:val="Normal"/>
        <w:widowControl/>
        <w:numPr>
          <w:ilvl w:val="0"/>
          <w:numId w:val="11"/>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Normal"/>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 2006 </w:t>
      </w:r>
      <w:r>
        <w:rPr>
          <w:rStyle w:val="tpa1"/>
          <w:rFonts w:eastAsia="Arial" w:cs="Arial" w:ascii="Arial" w:hAnsi="Arial"/>
          <w:color w:val="auto"/>
          <w:spacing w:val="0"/>
          <w:w w:val="100"/>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767/ 2016, pct. 6) În cadrul {{client.legalName}}, </w:t>
      </w:r>
      <w:r>
        <w:rPr>
          <w:rStyle w:val="spar"/>
          <w:rFonts w:eastAsia="Arial" w:cs="Arial" w:ascii="Arial" w:hAnsi="Arial"/>
          <w:color w:val="auto"/>
          <w:spacing w:val="0"/>
          <w:w w:val="100"/>
          <w:sz w:val="20"/>
          <w:szCs w:val="20"/>
          <w:shd w:fill="FFFFFF" w:val="clear"/>
          <w:lang w:val="ro-RO"/>
        </w:rPr>
        <w:t>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{{training.periodicDuration}}</w:t>
      </w:r>
      <w:r>
        <w:rPr>
          <w:rFonts w:eastAsia="Arial" w:cs="Arial" w:ascii="Arial" w:hAnsi="Arial"/>
          <w:color w:val="auto"/>
          <w:spacing w:val="0"/>
          <w:w w:val="100"/>
          <w:sz w:val="20"/>
          <w:szCs w:val="20"/>
          <w:lang w:val="ro-RO"/>
        </w:rPr>
        <w:t>;</w:t>
      </w:r>
    </w:p>
    <w:p>
      <w:pPr>
        <w:pStyle w:val="Normal"/>
        <w:widowControl/>
        <w:numPr>
          <w:ilvl w:val="0"/>
          <w:numId w:val="1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Având în vedere specificul activităților desfășurate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prevederilor din </w:t>
      </w:r>
      <w:r>
        <w:rPr>
          <w:rFonts w:eastAsia="Arial" w:cs="Arial" w:ascii="Arial" w:hAnsi="Arial"/>
          <w:i/>
          <w:color w:val="auto"/>
          <w:spacing w:val="0"/>
          <w:w w:val="100"/>
          <w:sz w:val="20"/>
          <w:szCs w:val="20"/>
          <w:lang w:val="ro-RO"/>
        </w:rPr>
        <w:t>HG 1425/2006, Art. 96, alin (2)</w:t>
      </w:r>
      <w:r>
        <w:rPr>
          <w:rFonts w:eastAsia="Arial" w:cs="Arial" w:ascii="Arial" w:hAnsi="Arial"/>
          <w:color w:val="auto"/>
          <w:spacing w:val="0"/>
          <w:w w:val="100"/>
          <w:sz w:val="20"/>
          <w:szCs w:val="20"/>
          <w:lang w:val="ro-RO"/>
        </w:rPr>
        <w:t xml:space="preserve"> stabilesc {{training.intervalPhrase}} pentru efectuarea instructajelor periodice:</w:t>
      </w:r>
    </w:p>
    <w:p>
      <w:r>
        <w:t>{{#training.administrative}}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tehnic-administrativ </w:t>
      </w:r>
      <w:r>
        <w:rPr>
          <w:rFonts w:eastAsia="Arial" w:cs="Arial" w:ascii="Arial" w:hAnsi="Arial"/>
          <w:color w:val="auto"/>
          <w:spacing w:val="0"/>
          <w:w w:val="100"/>
          <w:sz w:val="20"/>
          <w:szCs w:val="20"/>
          <w:lang w:val="ro-RO"/>
        </w:rPr>
        <w:t xml:space="preserve">și șefii de locuri de muncă, va fi instruit </w:t>
      </w:r>
      <w:r>
        <w:rPr>
          <w:rFonts w:eastAsia="Arial" w:cs="Arial" w:ascii="Arial" w:hAnsi="Arial"/>
          <w:b/>
          <w:bCs/>
          <w:color w:val="auto"/>
          <w:spacing w:val="0"/>
          <w:w w:val="100"/>
          <w:sz w:val="20"/>
          <w:szCs w:val="20"/>
          <w:lang w:val="ro-RO"/>
        </w:rPr>
        <w:t>{{training.administrativeFrequency}}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 lunile</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r>
        <w:t>{{/training.administrative}}</w:t>
      </w:r>
    </w:p>
    <w:p>
      <w:r>
        <w:t>{{#training.worker}}</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{{training.workerFrequency}}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 lunile</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r>
        <w:t>{{/training.worker}}</w:t>
      </w:r>
    </w:p>
    <w:p>
      <w:pPr>
        <w:pStyle w:val="Normal"/>
        <w:widowControl/>
        <w:numPr>
          <w:ilvl w:val="0"/>
          <w:numId w:val="10"/>
        </w:numPr>
        <w:spacing w:before="0" w:after="12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12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(Preluare din H.G. 1425/ 2006 – Instruirea lucrătorilor – Art. 99 – conf. H.G. 767/ 2016,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durata instruirii periodice prevăzute la art. 98 se stabilește de către angajator, împreună cu: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numPr>
          <w:ilvl w:val="2"/>
          <w:numId w:val="2"/>
        </w:numPr>
        <w:spacing w:before="0" w:after="40"/>
        <w:ind w:right="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Durata instruirii suplimentare va fi de </w:t>
      </w:r>
      <w:r>
        <w:rPr>
          <w:rFonts w:eastAsia="Arial" w:cs="Arial" w:ascii="Arial" w:hAnsi="Arial"/>
          <w:b/>
          <w:color w:val="auto"/>
          <w:spacing w:val="0"/>
          <w:w w:val="100"/>
          <w:sz w:val="20"/>
          <w:szCs w:val="20"/>
          <w:lang w:val="ro-RO"/>
        </w:rPr>
        <w:t>4 ore</w:t>
      </w:r>
      <w:r>
        <w:rPr>
          <w:rFonts w:eastAsia="Arial" w:cs="Arial" w:ascii="Arial" w:hAnsi="Arial"/>
          <w:color w:val="auto"/>
          <w:spacing w:val="0"/>
          <w:w w:val="100"/>
          <w:sz w:val="20"/>
          <w:szCs w:val="20"/>
          <w:lang w:val="ro-RO"/>
        </w:rPr>
        <w:t>;</w:t>
      </w:r>
    </w:p>
    <w:p>
      <w:pPr>
        <w:pStyle w:val="Heading1"/>
        <w:widowControl/>
        <w:numPr>
          <w:ilvl w:val="0"/>
          <w:numId w:val="12"/>
        </w:numPr>
        <w:spacing w:before="0" w:after="120"/>
        <w:ind w:right="0"/>
        <w:jc w:val="left"/>
        <w:rPr>
          <w:rFonts w:ascii="Arial" w:hAnsi="Arial" w:cs="Arial"/>
          <w:i/>
          <w:sz w:val="20"/>
          <w:szCs w:val="20"/>
        </w:rPr>
      </w:pPr>
      <w:r>
        <w:rPr>
          <w:rFonts w:eastAsia="Arial" w:cs="Arial" w:ascii="Arial" w:hAnsi="Arial"/>
          <w:i/>
          <w:color w:val="auto"/>
          <w:spacing w:val="0"/>
          <w:w w:val="100"/>
          <w:sz w:val="20"/>
          <w:szCs w:val="20"/>
          <w:lang w:val="ro-RO"/>
        </w:rPr>
        <w:t>(Preluare din H.G. 1425/ 2006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face pe bază de teste, de către serviciul extern de prevenire și protecție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Style w:val="PageNumber"/>
          <w:rFonts w:ascii="Arial" w:hAnsi="Arial" w:cs="Arial"/>
          <w:sz w:val="20"/>
          <w:szCs w:val="20"/>
        </w:rPr>
      </w:pPr>
      <w:r>
        <w:rPr>
          <w:rFonts w:eastAsia="Arial" w:cs="Arial" w:ascii="Arial" w:hAnsi="Arial"/>
          <w:color w:val="auto"/>
          <w:spacing w:val="0"/>
          <w:w w:val="100"/>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În cazul în care persoanele numite pe funcții cu atribuții în domeniul securității și sănătății în muncă (șefi de loc de muncă menționați mai sus), se schimbă, noii angajați vor lua la cunoștința despre prezenta decizie prin semnarea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procesului 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Prezența salariaților la instructaj este obligatorie și va fi asigurată de conducerea societății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sz w:val="18"/>
        <w:szCs w:val="18"/>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1094</Words>
  <Characters>6855</Characters>
  <CharactersWithSpaces>7829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2026-09-19T01:20:52Z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