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7"/>
        <w:keepNext/>
        <w:widowControl/>
        <w:numPr>
          <w:ilvl w:val="6"/>
          <w:numId w:val="1"/>
        </w:numPr>
        <w:spacing w:before="0" w:after="0"/>
        <w:ind w:hanging="0" w:left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eastAsia="Arial" w:cs="Arial" w:ascii="Arial" w:hAnsi="Arial"/>
          <w:b/>
          <w:color w:val="auto"/>
          <w:spacing w:val="0"/>
          <w:w w:val="100"/>
          <w:sz w:val="24"/>
          <w:szCs w:val="20"/>
          <w:lang w:val="ro-RO"/>
        </w:rPr>
        <w:t>DECIZIA</w:t>
      </w:r>
    </w:p>
    <w:p>
      <w:pPr>
        <w:pStyle w:val="Heading7"/>
        <w:keepNext w:val="false"/>
        <w:widowControl/>
        <w:numPr>
          <w:ilvl w:val="6"/>
          <w:numId w:val="1"/>
        </w:numPr>
        <w:spacing w:before="0" w:after="240"/>
        <w:ind w:hanging="0" w:left="0"/>
        <w:jc w:val="center"/>
        <w:rPr>
          <w:rFonts w:ascii="Arial" w:hAnsi="Arial" w:cs="Arial"/>
          <w:sz w:val="20"/>
          <w:szCs w:val="20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Nr. {{decisionNumber}} SSM din {{issueDate}}</w:t>
      </w:r>
    </w:p>
    <w:p>
      <w:pPr>
        <w:pStyle w:val="Heading7"/>
        <w:widowControl/>
        <w:numPr>
          <w:ilvl w:val="6"/>
          <w:numId w:val="1"/>
        </w:numPr>
        <w:spacing w:before="0" w:after="120"/>
        <w:ind w:hanging="0" w:left="0" w:right="0"/>
        <w:jc w:val="left"/>
        <w:rPr>
          <w:rFonts w:ascii="Arial" w:hAnsi="Arial" w:cs="Arial"/>
          <w:sz w:val="20"/>
          <w:szCs w:val="20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În baza prevederilor legale în domeniul securității și sănătății în muncă din Legea 319/ 2006 Art. 11, litera b și din H.G. 1425/ 2006 Art. 103, alin. (1-5), {{client.representativeName}} în calitate de {{client.representativeRole}} în cadrul {{client.legalName}}, începând cu data de {{issueDate}},</w:t>
      </w:r>
    </w:p>
    <w:p>
      <w:pPr>
        <w:pStyle w:val="Normal"/>
        <w:keepNext w:val="true"/>
        <w:widowControl/>
        <w:spacing w:before="240" w:after="120"/>
        <w:ind w:hanging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eastAsia="Arial" w:cs="Arial" w:ascii="Arial" w:hAnsi="Arial"/>
          <w:b/>
          <w:color w:val="auto"/>
          <w:spacing w:val="0"/>
          <w:w w:val="100"/>
          <w:sz w:val="20"/>
          <w:szCs w:val="20"/>
          <w:lang w:val="ro-RO"/>
        </w:rPr>
        <w:t>DECIDE:</w:t>
      </w:r>
    </w:p>
    <w:p>
      <w:pPr>
        <w:pStyle w:val="Normal"/>
        <w:keepNext/>
        <w:widowControl/>
        <w:numPr>
          <w:ilvl w:val="0"/>
          <w:numId w:val="2"/>
        </w:numPr>
        <w:spacing w:before="120" w:after="60"/>
        <w:jc w:val="left"/>
        <w:rPr>
          <w:rFonts w:ascii="Arial" w:hAnsi="Arial" w:cs="Arial"/>
          <w:sz w:val="20"/>
          <w:szCs w:val="20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 w:eastAsia="en-US"/>
        </w:rPr>
        <w:t>La constatarea stării de pericol grav și iminent de accidentare se vor lua imediat următoarele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 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 w:eastAsia="en-US"/>
        </w:rPr>
        <w:t>măsuri de securitate:</w:t>
      </w:r>
    </w:p>
    <w:p>
      <w:pPr>
        <w:pStyle w:val="Normal"/>
        <w:widowControl/>
        <w:numPr>
          <w:ilvl w:val="0"/>
          <w:numId w:val="5"/>
        </w:numPr>
        <w:spacing w:before="0" w:after="40"/>
        <w:jc w:val="left"/>
        <w:rPr>
          <w:rFonts w:ascii="Arial" w:hAnsi="Arial" w:cs="Arial"/>
          <w:sz w:val="20"/>
          <w:szCs w:val="20"/>
          <w:lang w:val="en-US" w:eastAsia="en-US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 w:eastAsia="en-US"/>
        </w:rPr>
        <w:t>oprirea echipamentului de muncă și/sau activității;</w:t>
      </w:r>
    </w:p>
    <w:p>
      <w:pPr>
        <w:pStyle w:val="Normal"/>
        <w:widowControl/>
        <w:numPr>
          <w:ilvl w:val="0"/>
          <w:numId w:val="5"/>
        </w:numPr>
        <w:spacing w:before="0" w:after="40"/>
        <w:jc w:val="left"/>
        <w:rPr>
          <w:rFonts w:ascii="Arial" w:hAnsi="Arial" w:cs="Arial"/>
          <w:sz w:val="20"/>
          <w:szCs w:val="20"/>
          <w:lang w:val="en-US" w:eastAsia="en-US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 w:eastAsia="en-US"/>
        </w:rPr>
        <w:t>evacuarea personalului din zona periculoasă;</w:t>
      </w:r>
    </w:p>
    <w:p>
      <w:pPr>
        <w:pStyle w:val="Normal"/>
        <w:widowControl/>
        <w:numPr>
          <w:ilvl w:val="0"/>
          <w:numId w:val="5"/>
        </w:numPr>
        <w:spacing w:before="0" w:after="40"/>
        <w:jc w:val="left"/>
        <w:rPr>
          <w:rFonts w:ascii="Arial" w:hAnsi="Arial" w:cs="Arial"/>
          <w:sz w:val="20"/>
          <w:szCs w:val="20"/>
          <w:lang w:val="en-US" w:eastAsia="en-US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 w:eastAsia="en-US"/>
        </w:rPr>
        <w:t>anunțarea serviciilor specializate;</w:t>
      </w:r>
    </w:p>
    <w:p>
      <w:pPr>
        <w:pStyle w:val="Normal"/>
        <w:widowControl/>
        <w:numPr>
          <w:ilvl w:val="0"/>
          <w:numId w:val="5"/>
        </w:numPr>
        <w:spacing w:before="0" w:after="40"/>
        <w:jc w:val="left"/>
        <w:rPr>
          <w:rFonts w:ascii="Arial" w:hAnsi="Arial" w:cs="Arial"/>
          <w:sz w:val="20"/>
          <w:szCs w:val="20"/>
          <w:lang w:val="en-US" w:eastAsia="en-US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 w:eastAsia="en-US"/>
        </w:rPr>
        <w:t>anunțarea conducătorilor ierarhici;</w:t>
      </w:r>
    </w:p>
    <w:p>
      <w:pPr>
        <w:pStyle w:val="Normal"/>
        <w:widowControl/>
        <w:numPr>
          <w:ilvl w:val="0"/>
          <w:numId w:val="5"/>
        </w:numPr>
        <w:spacing w:before="0" w:after="120"/>
        <w:jc w:val="left"/>
        <w:rPr>
          <w:rFonts w:ascii="Arial" w:hAnsi="Arial" w:cs="Arial"/>
          <w:sz w:val="20"/>
          <w:szCs w:val="20"/>
          <w:lang w:val="en-US" w:eastAsia="en-US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 w:eastAsia="en-US"/>
        </w:rPr>
        <w:t>eliminarea cauzelor care au condus la apariția stării de pericol grav și iminent.</w:t>
      </w:r>
    </w:p>
    <w:p>
      <w:pPr>
        <w:pStyle w:val="Normal"/>
        <w:keepNext/>
        <w:widowControl/>
        <w:numPr>
          <w:ilvl w:val="0"/>
          <w:numId w:val="2"/>
        </w:numPr>
        <w:spacing w:before="120" w:after="60"/>
        <w:jc w:val="left"/>
        <w:rPr>
          <w:rFonts w:ascii="Arial" w:hAnsi="Arial" w:cs="Arial"/>
          <w:sz w:val="20"/>
          <w:szCs w:val="20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 w:eastAsia="en-US"/>
        </w:rPr>
        <w:t xml:space="preserve">În vederea realizării măsurilor menționate mai sus, 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conducerea locurilor de muncă din cadrul {{client.legalName}} – {{workplaceManagersText}} – {{#workplaceManagersAssumeImminentDanger}}își asumă{{/workplaceManagersAssumeImminentDanger}}{{^workplaceManagersAssumeImminentDanger}}desemnează pe {{imminentDangerText}}, cu{{/workplaceManagersAssumeImminentDanger}} următoarele atribuții:</w:t>
      </w:r>
    </w:p>
    <w:p>
      <w:pPr>
        <w:pStyle w:val="Normal"/>
        <w:widowControl/>
        <w:numPr>
          <w:ilvl w:val="0"/>
          <w:numId w:val="4"/>
        </w:numPr>
        <w:spacing w:before="0" w:after="40"/>
        <w:jc w:val="left"/>
        <w:rPr>
          <w:rFonts w:ascii="Arial" w:hAnsi="Arial" w:cs="Arial"/>
          <w:sz w:val="20"/>
          <w:szCs w:val="20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Pentru oprirea imediată a echipamentelor de muncă: personalul desemnat sau, după caz, personalul aflat la program;</w:t>
      </w:r>
    </w:p>
    <w:p>
      <w:pPr>
        <w:pStyle w:val="Normal"/>
        <w:widowControl/>
        <w:numPr>
          <w:ilvl w:val="0"/>
          <w:numId w:val="4"/>
        </w:numPr>
        <w:spacing w:before="0" w:after="40"/>
        <w:jc w:val="left"/>
        <w:rPr>
          <w:rFonts w:ascii="Arial" w:hAnsi="Arial" w:cs="Arial"/>
          <w:sz w:val="20"/>
          <w:szCs w:val="20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Pentru evacuarea lucrătorilor din zona periculoasă: personalul desemnat;</w:t>
      </w:r>
    </w:p>
    <w:p>
      <w:pPr>
        <w:pStyle w:val="Normal"/>
        <w:widowControl/>
        <w:numPr>
          <w:ilvl w:val="0"/>
          <w:numId w:val="4"/>
        </w:numPr>
        <w:spacing w:before="0" w:after="40"/>
        <w:jc w:val="left"/>
        <w:rPr>
          <w:rFonts w:ascii="Arial" w:hAnsi="Arial" w:cs="Arial"/>
          <w:sz w:val="20"/>
          <w:szCs w:val="20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Pentru asigurarea 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 w:eastAsia="en-US"/>
        </w:rPr>
        <w:t xml:space="preserve">mijloacelor de comunicare necesare contactării serviciilor specializate: 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personalul desemnat, sau reprezentantul legal al administratorului;</w:t>
      </w:r>
    </w:p>
    <w:p>
      <w:pPr>
        <w:pStyle w:val="Normal"/>
        <w:widowControl/>
        <w:numPr>
          <w:ilvl w:val="0"/>
          <w:numId w:val="4"/>
        </w:numPr>
        <w:spacing w:before="0" w:after="40"/>
        <w:jc w:val="left"/>
        <w:rPr>
          <w:rFonts w:ascii="Arial" w:hAnsi="Arial" w:cs="Arial"/>
          <w:sz w:val="20"/>
          <w:szCs w:val="20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 w:eastAsia="en-US"/>
        </w:rPr>
        <w:t xml:space="preserve">Pentru modul operativ de anunțare la nivel ierarhic superior: 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personalul desemnat, sau reprezentantul legal al administratorului;</w:t>
      </w:r>
    </w:p>
    <w:p>
      <w:pPr>
        <w:pStyle w:val="Normal"/>
        <w:widowControl/>
        <w:numPr>
          <w:ilvl w:val="0"/>
          <w:numId w:val="4"/>
        </w:numPr>
        <w:spacing w:before="0" w:after="120"/>
        <w:jc w:val="left"/>
        <w:rPr>
          <w:rFonts w:ascii="Arial" w:hAnsi="Arial" w:cs="Arial"/>
          <w:sz w:val="20"/>
          <w:szCs w:val="20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 w:eastAsia="en-US"/>
        </w:rPr>
        <w:t xml:space="preserve">Pentru eliminarea stării de pericol grav și iminent, asigurarea instruirii, dotarea cu mijloace tehnice necesare intervenției și stabilirea serviciilor specializate care pot interveni: 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personalul desemnat, sau reprezentantul legal al administratorului.</w:t>
      </w:r>
    </w:p>
    <w:p>
      <w:pPr>
        <w:pStyle w:val="Normal"/>
        <w:widowControl/>
        <w:numPr>
          <w:ilvl w:val="0"/>
          <w:numId w:val="2"/>
        </w:numPr>
        <w:spacing w:before="120" w:after="60"/>
        <w:jc w:val="left"/>
        <w:rPr>
          <w:rFonts w:ascii="Arial" w:hAnsi="Arial" w:cs="Arial"/>
          <w:sz w:val="20"/>
          <w:szCs w:val="20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Personalul desemnat va primi de asemenea o instruire corespunzătoare în domeniul securității și sănătății în muncă.</w:t>
      </w:r>
    </w:p>
    <w:p>
      <w:pPr>
        <w:pStyle w:val="Normal"/>
        <w:keepNext w:val="true"/>
        <w:widowControl/>
        <w:spacing w:before="480" w:after="0"/>
        <w:ind w:hanging="0" w:left="0" w:right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eastAsia="Arial" w:cs="Arial" w:ascii="Arial" w:hAnsi="Arial"/>
          <w:b/>
          <w:color w:val="auto"/>
          <w:spacing w:val="0"/>
          <w:w w:val="100"/>
          <w:sz w:val="20"/>
          <w:szCs w:val="20"/>
          <w:lang w:val="ro-RO"/>
        </w:rPr>
        <w:t>{{client.legalName}}</w:t>
      </w:r>
    </w:p>
    <w:p>
      <w:pPr>
        <w:pStyle w:val="Normal"/>
        <w:keepNext w:val="true"/>
        <w:widowControl/>
        <w:spacing w:before="0" w:after="240"/>
        <w:ind w:hanging="0" w:left="0" w:right="0"/>
        <w:jc w:val="center"/>
        <w:rPr>
          <w:rFonts w:ascii="Arial" w:hAnsi="Arial" w:cs="Arial"/>
          <w:sz w:val="20"/>
          <w:szCs w:val="20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{{client.representativeRole}}</w:t>
      </w:r>
    </w:p>
    <w:p>
      <w:pPr>
        <w:pStyle w:val="Normal"/>
        <w:keepNext w:val="false"/>
        <w:widowControl/>
        <w:spacing w:before="0" w:after="480"/>
        <w:ind w:hanging="0" w:left="0" w:right="0"/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eastAsia="Arial" w:cs="Arial" w:ascii="Arial" w:hAnsi="Arial"/>
          <w:b/>
          <w:bCs/>
          <w:color w:val="auto"/>
          <w:spacing w:val="0"/>
          <w:w w:val="100"/>
          <w:sz w:val="20"/>
          <w:szCs w:val="20"/>
          <w:lang w:val="ro-RO"/>
        </w:rPr>
        <w:t>{{client.representativeName}}</w:t>
      </w:r>
    </w:p>
    <w:p>
      <w:pPr>
        <w:pStyle w:val="Normal"/>
        <w:keepNext w:val="true"/>
        <w:widowControl/>
        <w:spacing w:before="240" w:after="120"/>
        <w:ind w:hanging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eastAsia="Arial" w:cs="Arial" w:ascii="Arial" w:hAnsi="Arial"/>
          <w:b/>
          <w:color w:val="auto"/>
          <w:spacing w:val="0"/>
          <w:w w:val="100"/>
          <w:sz w:val="20"/>
          <w:szCs w:val="20"/>
          <w:lang w:val="ro-RO"/>
        </w:rPr>
        <w:t>PROCES VERBAL DE LUARE LA CUNOȘTINȚĂ</w:t>
      </w:r>
    </w:p>
    <w:p>
      <w:pPr>
        <w:pStyle w:val="Normal"/>
        <w:keepNext w:val="true"/>
        <w:widowControl/>
        <w:spacing w:before="0" w:after="120"/>
        <w:ind w:hanging="0" w:right="0"/>
        <w:jc w:val="left"/>
        <w:rPr>
          <w:rStyle w:val="tpa1"/>
          <w:rFonts w:ascii="Arial" w:hAnsi="Arial" w:cs="Arial"/>
          <w:sz w:val="20"/>
          <w:szCs w:val="20"/>
        </w:rPr>
      </w:pPr>
      <w:r>
        <w:rPr>
          <w:rStyle w:val="tpa1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Prin semnătura din tabelul nominal de mai jos, fiecare persoană des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e</w:t>
      </w:r>
      <w:r>
        <w:rPr>
          <w:rStyle w:val="tpa1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mnată confirmă că a luat cunoștință de prezenta decizie și se obligă să respecte întocmai obligațiile, atribuțiile și răspunderile ce reies din decizia Nr. {{decisionNumber}} SSM din {{issueDate}}.</w:t>
      </w:r>
    </w:p>
    <w:tbl>
      <w:tblPr>
        <w:tblW w:w="5000" w:type="pct"/>
        <w:jc w:val="left"/>
        <w:tblInd w:w="0" w:type="dxa"/>
        <w:tblLayout w:type="fixed"/>
        <w:tblCellMar>
          <w:top w:w="17" w:type="dxa"/>
          <w:left w:w="108" w:type="dxa"/>
          <w:bottom w:w="17" w:type="dxa"/>
          <w:right w:w="108" w:type="dxa"/>
        </w:tblCellMar>
      </w:tblPr>
      <w:tblGrid>
        <w:gridCol w:w="621"/>
        <w:gridCol w:w="3458"/>
        <w:gridCol w:w="2076"/>
        <w:gridCol w:w="1297"/>
        <w:gridCol w:w="1903"/>
      </w:tblGrid>
      <w:tr>
        <w:trPr>
          <w:tblHeader w:val="true"/>
          <w:trHeight w:val="70" w:hRule="atLeast"/>
        </w:trPr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keepNext w:val="true"/>
              <w:widowControl/>
              <w:spacing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auto"/>
                <w:spacing w:val="0"/>
                <w:w w:val="100"/>
                <w:sz w:val="20"/>
                <w:szCs w:val="20"/>
                <w:lang w:val="ro-RO"/>
              </w:rPr>
              <w:t>Nr. crt.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auto"/>
                <w:spacing w:val="0"/>
                <w:w w:val="100"/>
                <w:sz w:val="20"/>
                <w:szCs w:val="20"/>
                <w:lang w:val="ro-RO"/>
              </w:rPr>
              <w:t>Numele și prenumele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auto"/>
                <w:spacing w:val="0"/>
                <w:w w:val="100"/>
                <w:sz w:val="20"/>
                <w:szCs w:val="20"/>
                <w:lang w:val="ro-RO"/>
              </w:rPr>
              <w:t>Funcția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auto"/>
                <w:spacing w:val="0"/>
                <w:w w:val="100"/>
                <w:sz w:val="20"/>
                <w:szCs w:val="20"/>
                <w:lang w:val="ro-RO"/>
              </w:rPr>
              <w:t>Data primirii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auto"/>
                <w:spacing w:val="0"/>
                <w:w w:val="100"/>
                <w:sz w:val="20"/>
                <w:szCs w:val="20"/>
                <w:lang w:val="ro-RO"/>
              </w:rPr>
              <w:t>Semnătura de primire</w:t>
            </w:r>
          </w:p>
        </w:tc>
      </w:tr>
      <w:tr>
        <w:trPr>
          <w:trHeight w:val="340" w:hRule="atLeast"/>
        </w:trPr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true"/>
              <w:widowControl/>
              <w:numPr>
                <w:ilvl w:val="0"/>
                <w:numId w:val="3"/>
              </w:numPr>
              <w:snapToGrid w:val="false"/>
              <w:spacing w:before="0" w:after="0"/>
              <w:ind w:hanging="360" w:left="360" w:right="-10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  <w:t>{{#imminentDanger}}{{name}}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  <w:t>{{jobTitle}}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  <w:t>{{issueDate}}{{/imminentDanger}}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trHeight w:val="340" w:hRule="atLeast"/>
        </w:trPr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true"/>
              <w:widowControl/>
              <w:numPr>
                <w:ilvl w:val="0"/>
                <w:numId w:val="3"/>
              </w:numPr>
              <w:snapToGrid w:val="false"/>
              <w:spacing w:before="0" w:after="0"/>
              <w:ind w:hanging="360" w:left="360" w:right="-10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trHeight w:val="340" w:hRule="atLeast"/>
        </w:trPr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snapToGrid w:val="false"/>
              <w:spacing w:before="0" w:after="0"/>
              <w:ind w:hanging="360" w:left="360" w:right="-10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</w:tbl>
    <w:p>
      <w:pPr>
        <w:pStyle w:val="Normal"/>
        <w:widowControl/>
        <w:spacing w:before="0" w:after="0"/>
        <w:ind w:hanging="0"/>
        <w:jc w:val="left"/>
        <w:rPr>
          <w:rFonts w:ascii="Arial" w:hAnsi="Arial" w:cs="Arial"/>
          <w:sz w:val="2"/>
          <w:szCs w:val="20"/>
        </w:rPr>
      </w:pPr>
      <w:r>
        <w:rPr>
          <w:rFonts w:eastAsia="Arial" w:cs="Arial" w:ascii="Arial" w:hAnsi="Arial"/>
          <w:color w:val="auto"/>
          <w:spacing w:val="0"/>
          <w:w w:val="100"/>
          <w:sz w:val="2"/>
          <w:szCs w:val="20"/>
          <w:lang w:val="ro-RO"/>
        </w:rPr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17" w:right="1134" w:gutter="0" w:header="0" w:top="1134" w:footer="68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TimesNewRoman">
    <w:altName w:val="Times New Roman"/>
    <w:charset w:val="01"/>
    <w:family w:val="roman"/>
    <w:pitch w:val="variable"/>
  </w:font>
  <w:font w:name="Courier New">
    <w:charset w:val="01"/>
    <w:family w:val="roman"/>
    <w:pitch w:val="variable"/>
  </w:font>
  <w:font w:name="Wingdings">
    <w:charset w:val="0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Arial Unicode MS">
    <w:charset w:val="01"/>
    <w:family w:val="swiss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60" w:after="0"/>
      <w:ind w:hanging="0" w:left="0"/>
      <w:jc w:val="center"/>
      <w:rPr>
        <w:color w:val="7A7A7A"/>
        <w:sz w:val="15"/>
        <w:szCs w:val="15"/>
      </w:rPr>
    </w:pPr>
    <w:r>
      <w:rPr>
        <w:rStyle w:val="PageNumber"/>
        <w:rFonts w:eastAsia="Arial" w:cs="Arial" w:ascii="Arial" w:hAnsi="Arial"/>
        <w:b w:val="false"/>
        <w:color w:val="7A7A7A"/>
        <w:spacing w:val="0"/>
        <w:w w:val="100"/>
        <w:sz w:val="15"/>
        <w:szCs w:val="15"/>
        <w:lang w:val="ro-RO"/>
      </w:rPr>
      <w:t>{{#branding}}Document generat cu SSM Ușor · ssmusor.ro{{/branding}}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60" w:after="0"/>
      <w:ind w:hanging="0" w:left="0"/>
      <w:jc w:val="center"/>
      <w:rPr>
        <w:color w:val="7A7A7A"/>
        <w:sz w:val="15"/>
        <w:szCs w:val="15"/>
      </w:rPr>
    </w:pPr>
    <w:r>
      <w:rPr>
        <w:rStyle w:val="PageNumber"/>
        <w:rFonts w:eastAsia="Arial" w:cs="Arial" w:ascii="Arial" w:hAnsi="Arial"/>
        <w:b w:val="false"/>
        <w:color w:val="7A7A7A"/>
        <w:spacing w:val="0"/>
        <w:w w:val="100"/>
        <w:sz w:val="15"/>
        <w:szCs w:val="15"/>
        <w:lang w:val="ro-RO"/>
      </w:rPr>
      <w:t>{{#branding}}Document generat cu SSM Ușor · ssmusor.ro{{/branding}}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60" w:after="0"/>
      <w:ind w:hanging="0" w:left="0"/>
      <w:jc w:val="center"/>
      <w:rPr>
        <w:color w:val="7A7A7A"/>
        <w:sz w:val="15"/>
        <w:szCs w:val="15"/>
      </w:rPr>
    </w:pPr>
    <w:r>
      <w:rPr>
        <w:rStyle w:val="PageNumber"/>
        <w:rFonts w:eastAsia="Arial" w:cs="Arial" w:ascii="Arial" w:hAnsi="Arial"/>
        <w:b w:val="false"/>
        <w:color w:val="7A7A7A"/>
        <w:spacing w:val="0"/>
        <w:w w:val="100"/>
        <w:sz w:val="15"/>
        <w:szCs w:val="15"/>
        <w:lang w:val="ro-RO"/>
      </w:rPr>
      <w:t>{{#branding}}Document generat cu SSM Ușor · ssmusor.ro{{/branding}}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Art. %1."/>
      <w:lvlJc w:val="left"/>
      <w:pPr>
        <w:tabs>
          <w:tab w:val="num" w:pos="720"/>
        </w:tabs>
        <w:ind w:left="0" w:hanging="0"/>
      </w:pPr>
      <w:rPr>
        <w:rFonts w:ascii="Arial" w:hAnsi="Arial" w:cs="Arial"/>
        <w:b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o-RO" w:eastAsia="zh-CN" w:bidi="ar-SA"/>
    </w:rPr>
  </w:style>
  <w:style w:type="paragraph" w:styleId="Heading1">
    <w:name w:val="heading 1"/>
    <w:basedOn w:val="Normal"/>
    <w:next w:val="Normal"/>
    <w:pPr>
      <w:keepNext w:val="true"/>
      <w:numPr>
        <w:ilvl w:val="0"/>
        <w:numId w:val="1"/>
      </w:numPr>
      <w:outlineLvl w:val="0"/>
    </w:pPr>
    <w:rPr>
      <w:sz w:val="48"/>
    </w:rPr>
  </w:style>
  <w:style w:type="paragraph" w:styleId="Heading2">
    <w:name w:val="heading 2"/>
    <w:basedOn w:val="Normal"/>
    <w:next w:val="Normal"/>
    <w:pPr>
      <w:keepNext w:val="true"/>
      <w:numPr>
        <w:ilvl w:val="1"/>
        <w:numId w:val="1"/>
      </w:numPr>
      <w:ind w:firstLine="708" w:left="2124" w:right="0"/>
      <w:outlineLvl w:val="1"/>
    </w:pPr>
    <w:rPr>
      <w:sz w:val="72"/>
    </w:rPr>
  </w:style>
  <w:style w:type="paragraph" w:styleId="Heading3">
    <w:name w:val="heading 3"/>
    <w:basedOn w:val="Normal"/>
    <w:next w:val="Normal"/>
    <w:pPr>
      <w:keepNext w:val="true"/>
      <w:numPr>
        <w:ilvl w:val="2"/>
        <w:numId w:val="1"/>
      </w:numPr>
      <w:outlineLvl w:val="2"/>
    </w:pPr>
    <w:rPr>
      <w:sz w:val="72"/>
    </w:rPr>
  </w:style>
  <w:style w:type="paragraph" w:styleId="Heading4">
    <w:name w:val="heading 4"/>
    <w:basedOn w:val="Normal"/>
    <w:next w:val="Normal"/>
    <w:pPr>
      <w:keepNext w:val="true"/>
      <w:numPr>
        <w:ilvl w:val="3"/>
        <w:numId w:val="1"/>
      </w:numPr>
      <w:jc w:val="both"/>
      <w:outlineLvl w:val="3"/>
    </w:pPr>
    <w:rPr>
      <w:sz w:val="28"/>
    </w:rPr>
  </w:style>
  <w:style w:type="paragraph" w:styleId="Heading7">
    <w:name w:val="heading 7"/>
    <w:basedOn w:val="Normal"/>
    <w:next w:val="Normal"/>
    <w:pPr>
      <w:keepNext w:val="true"/>
      <w:numPr>
        <w:ilvl w:val="6"/>
        <w:numId w:val="1"/>
      </w:numPr>
      <w:jc w:val="both"/>
      <w:outlineLvl w:val="6"/>
    </w:pPr>
    <w:rPr>
      <w:sz w:val="32"/>
    </w:rPr>
  </w:style>
  <w:style w:type="character" w:styleId="WW8Num1z0">
    <w:name w:val="WW8Num1z0"/>
    <w:rPr>
      <w:rFonts w:ascii="Arial" w:hAnsi="Arial" w:cs="Arial"/>
      <w:b/>
      <w:i w:val="false"/>
      <w:sz w:val="18"/>
      <w:szCs w:val="18"/>
    </w:rPr>
  </w:style>
  <w:style w:type="character" w:styleId="WW8Num1z1">
    <w:name w:val="WW8Num1z1"/>
    <w:rPr>
      <w:b/>
      <w:i w:val="false"/>
      <w:sz w:val="18"/>
      <w:szCs w:val="18"/>
    </w:rPr>
  </w:style>
  <w:style w:type="character" w:styleId="WW8Num2z0">
    <w:name w:val="WW8Num2z0"/>
    <w:rPr>
      <w:rFonts w:ascii="TimesNewRoman;Times New Roman" w:hAnsi="TimesNewRoman;Times New Roman" w:cs="TimesNewRoman;Times New Roman"/>
      <w:sz w:val="26"/>
    </w:rPr>
  </w:style>
  <w:style w:type="character" w:styleId="WW8Num3z0">
    <w:name w:val="WW8Num3z0"/>
    <w:rPr>
      <w:rFonts w:ascii="Symbol" w:hAnsi="Symbol" w:cs="Symbol"/>
    </w:rPr>
  </w:style>
  <w:style w:type="character" w:styleId="WW8Num4z0">
    <w:name w:val="WW8Num4z0"/>
    <w:rPr>
      <w:rFonts w:ascii="Arial" w:hAnsi="Arial" w:cs="Arial"/>
      <w:b/>
      <w:sz w:val="18"/>
      <w:szCs w:val="18"/>
    </w:rPr>
  </w:style>
  <w:style w:type="character" w:styleId="WW8Num4z1">
    <w:name w:val="WW8Num4z1"/>
    <w:rPr>
      <w:b/>
    </w:rPr>
  </w:style>
  <w:style w:type="character" w:styleId="WW8Num7z0">
    <w:name w:val="WW8Num7z0"/>
    <w:rPr>
      <w:rFonts w:ascii="Arial" w:hAnsi="Arial" w:eastAsia="Times New Roman" w:cs="Arial"/>
    </w:rPr>
  </w:style>
  <w:style w:type="character" w:styleId="WW8Num7z1">
    <w:name w:val="WW8Num7z1"/>
    <w:rPr>
      <w:rFonts w:ascii="Courier New" w:hAnsi="Courier New" w:cs="Courier New"/>
    </w:rPr>
  </w:style>
  <w:style w:type="character" w:styleId="WW8Num7z2">
    <w:name w:val="WW8Num7z2"/>
    <w:rPr>
      <w:rFonts w:ascii="Wingdings" w:hAnsi="Wingdings" w:cs="Wingdings"/>
    </w:rPr>
  </w:style>
  <w:style w:type="character" w:styleId="WW8Num7z3">
    <w:name w:val="WW8Num7z3"/>
    <w:rPr>
      <w:rFonts w:ascii="Symbol" w:hAnsi="Symbol" w:cs="Symbol"/>
    </w:rPr>
  </w:style>
  <w:style w:type="character" w:styleId="WW8Num8z0">
    <w:name w:val="WW8Num8z0"/>
    <w:rPr>
      <w:b/>
    </w:rPr>
  </w:style>
  <w:style w:type="character" w:styleId="WW8Num9z0">
    <w:name w:val="WW8Num9z0"/>
    <w:rPr>
      <w:rFonts w:ascii="Arial" w:hAnsi="Arial" w:cs="Arial"/>
      <w:b/>
      <w:sz w:val="22"/>
      <w:szCs w:val="22"/>
    </w:rPr>
  </w:style>
  <w:style w:type="character" w:styleId="WW8Num10z0">
    <w:name w:val="WW8Num10z0"/>
    <w:rPr/>
  </w:style>
  <w:style w:type="character" w:styleId="WW8Num11z0">
    <w:name w:val="WW8Num11z0"/>
    <w:rPr>
      <w:rFonts w:ascii="Arial" w:hAnsi="Arial" w:cs="Arial"/>
      <w:b/>
      <w:i w:val="false"/>
      <w:sz w:val="18"/>
      <w:szCs w:val="18"/>
      <w:lang w:val="it-IT"/>
    </w:rPr>
  </w:style>
  <w:style w:type="character" w:styleId="WW8Num12z0">
    <w:name w:val="WW8Num12z0"/>
    <w:rPr>
      <w:rFonts w:ascii="Arial" w:hAnsi="Arial" w:eastAsia="Times New Roman" w:cs="Arial"/>
    </w:rPr>
  </w:style>
  <w:style w:type="character" w:styleId="WW8Num12z1">
    <w:name w:val="WW8Num12z1"/>
    <w:rPr>
      <w:rFonts w:ascii="Courier New" w:hAnsi="Courier New" w:cs="Courier New"/>
    </w:rPr>
  </w:style>
  <w:style w:type="character" w:styleId="WW8Num12z2">
    <w:name w:val="WW8Num12z2"/>
    <w:rPr>
      <w:rFonts w:ascii="Wingdings" w:hAnsi="Wingdings" w:cs="Wingdings"/>
    </w:rPr>
  </w:style>
  <w:style w:type="character" w:styleId="WW8Num12z3">
    <w:name w:val="WW8Num12z3"/>
    <w:rPr>
      <w:rFonts w:ascii="Symbol" w:hAnsi="Symbol" w:cs="Symbol"/>
    </w:rPr>
  </w:style>
  <w:style w:type="character" w:styleId="WW8Num13z0">
    <w:name w:val="WW8Num13z0"/>
    <w:rPr>
      <w:rFonts w:ascii="Symbol" w:hAnsi="Symbol" w:cs="Symbol"/>
    </w:rPr>
  </w:style>
  <w:style w:type="character" w:styleId="WW8Num13z1">
    <w:name w:val="WW8Num13z1"/>
    <w:rPr>
      <w:rFonts w:ascii="Courier New" w:hAnsi="Courier New" w:cs="Courier New"/>
    </w:rPr>
  </w:style>
  <w:style w:type="character" w:styleId="WW8Num13z2">
    <w:name w:val="WW8Num13z2"/>
    <w:rPr>
      <w:rFonts w:ascii="Wingdings" w:hAnsi="Wingdings" w:cs="Wingdings"/>
    </w:rPr>
  </w:style>
  <w:style w:type="character" w:styleId="WW8Num14z0">
    <w:name w:val="WW8Num14z0"/>
    <w:rPr>
      <w:b/>
    </w:rPr>
  </w:style>
  <w:style w:type="character" w:styleId="WW8Num15z0">
    <w:name w:val="WW8Num15z0"/>
    <w:rPr>
      <w:b/>
      <w:sz w:val="24"/>
      <w:szCs w:val="24"/>
    </w:rPr>
  </w:style>
  <w:style w:type="character" w:styleId="WW8Num15z1">
    <w:name w:val="WW8Num15z1"/>
    <w:rPr/>
  </w:style>
  <w:style w:type="character" w:styleId="WW8Num16z0">
    <w:name w:val="WW8Num16z0"/>
    <w:rPr/>
  </w:style>
  <w:style w:type="character" w:styleId="WW8Num16z1">
    <w:name w:val="WW8Num16z1"/>
    <w:rPr>
      <w:rFonts w:ascii="Times New Roman" w:hAnsi="Times New Roman" w:eastAsia="Times New Roman" w:cs="Times New Roman"/>
    </w:rPr>
  </w:style>
  <w:style w:type="character" w:styleId="WW8Num19z0">
    <w:name w:val="WW8Num19z0"/>
    <w:rPr>
      <w:b/>
      <w:sz w:val="28"/>
    </w:rPr>
  </w:style>
  <w:style w:type="character" w:styleId="WW8Num20z0">
    <w:name w:val="WW8Num20z0"/>
    <w:rPr>
      <w:b/>
    </w:rPr>
  </w:style>
  <w:style w:type="character" w:styleId="DefaultParagraphFont">
    <w:name w:val="Default Paragraph Font"/>
    <w:rPr/>
  </w:style>
  <w:style w:type="character" w:styleId="PageNumber">
    <w:name w:val="page number"/>
    <w:basedOn w:val="DefaultParagraphFont"/>
    <w:rPr/>
  </w:style>
  <w:style w:type="character" w:styleId="tal1">
    <w:name w:val="tal1"/>
    <w:basedOn w:val="DefaultParagraphFont"/>
    <w:rPr/>
  </w:style>
  <w:style w:type="character" w:styleId="tpa1">
    <w:name w:val="tpa1"/>
    <w:basedOn w:val="DefaultParagraphFont"/>
    <w:rPr/>
  </w:style>
  <w:style w:type="character" w:styleId="tli1">
    <w:name w:val="tli1"/>
    <w:basedOn w:val="DefaultParagraphFont"/>
    <w:rPr/>
  </w:style>
  <w:style w:type="character" w:styleId="Hyperlink">
    <w:name w:val="Hyperlink"/>
    <w:rPr>
      <w:b/>
      <w:bCs/>
      <w:u w:val="single"/>
    </w:rPr>
  </w:style>
  <w:style w:type="character" w:styleId="pt1">
    <w:name w:val="pt1"/>
    <w:rPr>
      <w:b/>
      <w:bCs/>
    </w:rPr>
  </w:style>
  <w:style w:type="character" w:styleId="tpt1">
    <w:name w:val="tpt1"/>
    <w:basedOn w:val="DefaultParagraphFont"/>
    <w:rPr/>
  </w:style>
  <w:style w:type="character" w:styleId="FootnoteCharacters">
    <w:name w:val="Footnote Characters"/>
    <w:rPr/>
  </w:style>
  <w:style w:type="character" w:styleId="CaptionCharacters">
    <w:name w:val="Caption Characters"/>
    <w:rPr/>
  </w:style>
  <w:style w:type="character" w:styleId="DropCaps">
    <w:name w:val="Drop Caps"/>
    <w:rPr/>
  </w:style>
  <w:style w:type="character" w:styleId="NumberingSymbols">
    <w:name w:val="Numbering Symbols"/>
    <w:rPr/>
  </w:style>
  <w:style w:type="character" w:styleId="Bullets">
    <w:name w:val="Bullets"/>
    <w:rPr>
      <w:rFonts w:ascii="OpenSymbol" w:hAnsi="OpenSymbol" w:eastAsia="OpenSymbol" w:cs="OpenSymbol"/>
    </w:rPr>
  </w:style>
  <w:style w:type="character" w:styleId="FollowedHyperlink">
    <w:name w:val="FollowedHyperlink"/>
    <w:rPr>
      <w:u w:val="single"/>
    </w:rPr>
  </w:style>
  <w:style w:type="character" w:styleId="Placeholder">
    <w:name w:val="Placeholder"/>
    <w:rPr>
      <w:smallCaps/>
      <w:u w:val="dotted"/>
    </w:rPr>
  </w:style>
  <w:style w:type="character" w:styleId="IndexLink">
    <w:name w:val="Index Link"/>
    <w:rPr/>
  </w:style>
  <w:style w:type="character" w:styleId="EndnoteCharacters">
    <w:name w:val="Endnote Characters"/>
    <w:rPr/>
  </w:style>
  <w:style w:type="character" w:styleId="LineNumber">
    <w:name w:val="line number"/>
    <w:rPr/>
  </w:style>
  <w:style w:type="character" w:styleId="MainIndexEntry">
    <w:name w:val="Main Index Entry"/>
    <w:rPr>
      <w:b/>
      <w:bCs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Rubies">
    <w:name w:val="Rubies"/>
    <w:rPr>
      <w:sz w:val="12"/>
      <w:szCs w:val="12"/>
      <w:u w:val="none"/>
      <w:em w:val="none"/>
    </w:rPr>
  </w:style>
  <w:style w:type="character" w:styleId="VerticalNumberingSymbols">
    <w:name w:val="Vertical Numbering Symbols"/>
    <w:rPr>
      <w:eastAsianLayout w:vert="true"/>
    </w:rPr>
  </w:style>
  <w:style w:type="character" w:styleId="Emphasis">
    <w:name w:val="Emphasis"/>
    <w:rPr>
      <w:i/>
      <w:iCs/>
    </w:rPr>
  </w:style>
  <w:style w:type="character" w:styleId="Quotation">
    <w:name w:val="Quotation"/>
    <w:rPr>
      <w:i/>
      <w:iCs/>
    </w:rPr>
  </w:style>
  <w:style w:type="character" w:styleId="Strong">
    <w:name w:val="Strong"/>
    <w:rPr>
      <w:b/>
      <w:bCs/>
    </w:rPr>
  </w:style>
  <w:style w:type="character" w:styleId="SourceText">
    <w:name w:val="Source Text"/>
    <w:rPr>
      <w:rFonts w:ascii="Liberation Mono" w:hAnsi="Liberation Mono" w:eastAsia="Arial" w:cs="Liberation Mono"/>
    </w:rPr>
  </w:style>
  <w:style w:type="character" w:styleId="Example">
    <w:name w:val="Example"/>
    <w:rPr>
      <w:rFonts w:ascii="Liberation Mono" w:hAnsi="Liberation Mono" w:eastAsia="Arial" w:cs="Liberation Mono"/>
    </w:rPr>
  </w:style>
  <w:style w:type="character" w:styleId="UserEntry">
    <w:name w:val="User Entry"/>
    <w:rPr>
      <w:rFonts w:ascii="Liberation Mono" w:hAnsi="Liberation Mono" w:eastAsia="Arial" w:cs="Liberation Mono"/>
    </w:rPr>
  </w:style>
  <w:style w:type="character" w:styleId="Variable">
    <w:name w:val="Variable"/>
    <w:rPr>
      <w:i/>
      <w:iCs/>
    </w:rPr>
  </w:style>
  <w:style w:type="character" w:styleId="Definition">
    <w:name w:val="Definition"/>
    <w:rPr/>
  </w:style>
  <w:style w:type="character" w:styleId="Teletype">
    <w:name w:val="Teletype"/>
    <w:rPr>
      <w:rFonts w:ascii="Liberation Mono" w:hAnsi="Liberation Mono" w:eastAsia="Arial" w:cs="Liberation Mono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Arial" w:hAnsi="Arial" w:eastAsia="Arial" w:cs="Arial"/>
      <w:sz w:val="28"/>
      <w:szCs w:val="28"/>
    </w:rPr>
  </w:style>
  <w:style w:type="paragraph" w:styleId="BodyText">
    <w:name w:val="Body Text"/>
    <w:basedOn w:val="Normal"/>
    <w:pPr>
      <w:jc w:val="both"/>
    </w:pPr>
    <w:rPr>
      <w:sz w:val="28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Arial"/>
    </w:rPr>
  </w:style>
  <w:style w:type="paragraph" w:styleId="HeaderandFooter">
    <w:name w:val="Header and Footer"/>
    <w:basedOn w:val="Normal"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320" w:leader="none"/>
        <w:tab w:val="right" w:pos="8640" w:leader="none"/>
      </w:tabs>
    </w:pPr>
    <w:rPr>
      <w:lang w:val="en-GB"/>
    </w:rPr>
  </w:style>
  <w:style w:type="paragraph" w:styleId="Footer">
    <w:name w:val="footer"/>
    <w:basedOn w:val="Normal"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NormalWeb">
    <w:name w:val="Normal (Web)"/>
    <w:basedOn w:val="Normal"/>
    <w:pPr>
      <w:spacing w:before="280" w:after="280"/>
    </w:pPr>
    <w:rPr>
      <w:rFonts w:ascii="Arial Unicode MS" w:hAnsi="Arial Unicode MS" w:eastAsia="Arial Unicode MS" w:cs="Arial Unicode MS"/>
      <w:color w:val="000000"/>
      <w:lang w:val="en-GB"/>
    </w:rPr>
  </w:style>
  <w:style w:type="paragraph" w:styleId="BodyTextIndent">
    <w:name w:val="Body Text Indent"/>
    <w:basedOn w:val="Normal"/>
    <w:pPr>
      <w:spacing w:lineRule="auto" w:line="360"/>
      <w:ind w:hanging="540" w:left="540" w:right="0"/>
    </w:pPr>
    <w:rPr>
      <w:sz w:val="28"/>
    </w:rPr>
  </w:style>
  <w:style w:type="paragraph" w:styleId="BodyTextIndent2">
    <w:name w:val="Body Text Indent 2"/>
    <w:basedOn w:val="Normal"/>
    <w:pPr>
      <w:spacing w:lineRule="auto" w:line="360"/>
      <w:ind w:hanging="0" w:left="360" w:right="0"/>
    </w:pPr>
    <w:rPr>
      <w:sz w:val="28"/>
    </w:rPr>
  </w:style>
  <w:style w:type="paragraph" w:styleId="BodyTextIndent3">
    <w:name w:val="Body Text Indent 3"/>
    <w:basedOn w:val="Normal"/>
    <w:pPr>
      <w:spacing w:lineRule="auto" w:line="360"/>
      <w:ind w:firstLine="708" w:left="0" w:right="0"/>
      <w:jc w:val="both"/>
    </w:pPr>
    <w:rPr>
      <w:sz w:val="28"/>
    </w:rPr>
  </w:style>
  <w:style w:type="paragraph" w:styleId="BlockText">
    <w:name w:val="Block Text"/>
    <w:basedOn w:val="Normal"/>
    <w:pPr>
      <w:ind w:hanging="0" w:left="1260" w:right="-900"/>
    </w:pPr>
    <w:rPr>
      <w:b/>
      <w:bCs/>
    </w:rPr>
  </w:style>
  <w:style w:type="paragraph" w:styleId="HTMLPreformatted">
    <w:name w:val="HTML Preformatted"/>
    <w:basedOn w:val="Normal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  <w:lang w:val="en-US"/>
    </w:rPr>
  </w:style>
  <w:style w:type="paragraph" w:styleId="ListParagraph">
    <w:name w:val="List Paragraph"/>
    <w:basedOn w:val="Normal"/>
    <w:pPr>
      <w:ind w:hanging="0" w:left="720" w:right="0"/>
    </w:pPr>
    <w:rPr/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numbering" w:styleId="WW8Num1">
    <w:name w:val="WW8Num1"/>
  </w:style>
  <w:style w:type="numbering" w:styleId="WW8Num2">
    <w:name w:val="WW8Num2"/>
  </w:style>
  <w:style w:type="numbering" w:styleId="WW8Num3">
    <w:name w:val="WW8Num3"/>
  </w:style>
  <w:style w:type="numbering" w:styleId="WW8Num4">
    <w:name w:val="WW8Num4"/>
  </w:style>
  <w:style w:type="numbering" w:styleId="WW8Num5">
    <w:name w:val="WW8Num5"/>
  </w:style>
  <w:style w:type="numbering" w:styleId="WW8Num6">
    <w:name w:val="WW8Num6"/>
  </w:style>
  <w:style w:type="numbering" w:styleId="WW8Num7">
    <w:name w:val="WW8Num7"/>
  </w:style>
  <w:style w:type="numbering" w:styleId="WW8Num8">
    <w:name w:val="WW8Num8"/>
  </w:style>
  <w:style w:type="numbering" w:styleId="WW8Num9">
    <w:name w:val="WW8Num9"/>
  </w:style>
  <w:style w:type="numbering" w:styleId="WW8Num10">
    <w:name w:val="WW8Num10"/>
  </w:style>
  <w:style w:type="numbering" w:styleId="WW8Num11">
    <w:name w:val="WW8Num11"/>
  </w:style>
  <w:style w:type="numbering" w:styleId="WW8Num12">
    <w:name w:val="WW8Num12"/>
  </w:style>
  <w:style w:type="numbering" w:styleId="WW8Num13">
    <w:name w:val="WW8Num13"/>
  </w:style>
  <w:style w:type="numbering" w:styleId="WW8Num14">
    <w:name w:val="WW8Num14"/>
  </w:style>
  <w:style w:type="numbering" w:styleId="WW8Num15">
    <w:name w:val="WW8Num15"/>
  </w:style>
  <w:style w:type="numbering" w:styleId="WW8Num16">
    <w:name w:val="WW8Num16"/>
  </w:style>
  <w:style w:type="numbering" w:styleId="WW8Num17">
    <w:name w:val="WW8Num17"/>
  </w:style>
  <w:style w:type="numbering" w:styleId="WW8Num18">
    <w:name w:val="WW8Num18"/>
  </w:style>
  <w:style w:type="numbering" w:styleId="WW8Num19">
    <w:name w:val="WW8Num19"/>
  </w:style>
  <w:style w:type="numbering" w:styleId="WW8Num20">
    <w:name w:val="WW8Num20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LibreOffice/26.8.0.3$Linux_AARCH64 LibreOffice_project/680$Build-3</Application>
  <AppVersion>15.0000</AppVersion>
  <Pages>1</Pages>
  <Words>370</Words>
  <Characters>2722</Characters>
  <CharactersWithSpaces>3036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2024-03-04T14:01:00Z</dcterms:created>
  <dc:creator>Jinaru Adam Marian</dc:creator>
  <dc:description/>
  <dc:language>en-US</dc:language>
  <cp:lastModifiedBy/>
  <cp:lastPrinted>2022-10-08T18:24:00Z</cp:lastPrinted>
  <dcterms:modified xsi:type="dcterms:W3CDTF">2026-09-19T01:20:59Z</dcterms:modified>
  <cp:revision>5</cp:revision>
  <dc:subject>Organizarea activitatii S.S.M.</dc:subject>
  <dc:title>Decizia 1 in domeniul S.S.M.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