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 Comunicarea, cercetarea, înregistrarea și raportarea evenimentelor, accidente de muncă și boli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keepNext/>
        <w:widowControl/>
        <w:numPr>
          <w:ilvl w:val="0"/>
          <w:numId w:val="7"/>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lună</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