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493/2006; H.G. 259/2022; I.P.S.S.M. Art. 1 – 287;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95 – 165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166 – 185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186 – 202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203 – 233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234 – 253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254 – 287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