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a cunoștințelor în urma instruirii introductiv-generale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periodică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Document justificativ de control privind verificarea tematică la locurile de muncă, informarea asupra deficiențelor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sau îmbolnăvire profesională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 xml:space="preserve">(1) lit. a) - c) din H.G. 1425/ 2006;</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 care serviciile interne de prevenire și protecție nu au capacitățile și aptitudinile necesare pentru efectuarea tuturor activităților de prevenire și protecție prevăzute la art. 15 din H.G. 1425/ 2006,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din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 xml:space="preserve">(Preluare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 xml:space="preserve">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 xml:space="preserve">(Preluare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 xml:space="preserve">ntervalul dintre două instruiri periodice și periodicitatea verificării instruirii vor fi stabilite prin programul de instruire-testare elaborat la nivelul întreprinderii și/sau unității potrivit prevederilor art. 15 alin. (1) pct. 8 din H.G. 1425/ 2006,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periodică suplimentară se va efectua pe baza tematicilor </w:t>
      </w:r>
      <w:r>
        <w:rPr>
          <w:rStyle w:val="tal1"/>
          <w:rFonts w:eastAsia="Arial" w:cs="Arial" w:ascii="Arial" w:hAnsi="Arial"/>
          <w:b/>
          <w:color w:val="auto"/>
          <w:spacing w:val="0"/>
          <w:w w:val="100"/>
          <w:sz w:val="20"/>
          <w:szCs w:val="20"/>
          <w:lang w:val="ro-RO"/>
        </w:rPr>
        <w:t xml:space="preserve">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nr. 346/ 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afla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 xml:space="preserve">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Denumirea documentului</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Material de instruire în domeniul securității și sănătății în muncă pentru instruirea introductiv-generală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Evaluarea riscurilor de accidentare și/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securității și sănătății în muncă (instruirea introductiv-generală,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pentru realizarea instruirii în domeniul situațiilor de urgență,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punctul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Cs/>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în funcție de posibilități, aer condiționat sau ventilație. În perioadele cu temperaturi ridicate extreme (peste +37 °C), angajatorul va asigura apă minerală adecvată, câte 2 - 4 litri/ persoană/ schimb, iar în perioadele cu temperaturi scăzute extreme (sub -20 °C), salariaților care lucrează în aer liber, ceai fierbinte în cantitate de 0,5 - 1 litru/ persoană/ schimb (O.U.G. nr. 99/2000, art. 4 și 5)</w:t>
      </w:r>
      <w:r>
        <w:rPr>
          <w:rFonts w:eastAsia="Arial" w:cs="Arial" w:ascii="Arial" w:hAnsi="Arial"/>
          <w:bCs/>
          <w:color w:val="auto"/>
          <w:spacing w:val="0"/>
          <w:w w:val="100"/>
          <w:sz w:val="20"/>
          <w:szCs w:val="20"/>
          <w:lang w:val="ro-RO"/>
        </w:rPr>
        <w:t xml:space="preserve">;</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 2003 privind protecția maternității la locurile de muncă.</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viața și sănătatea celorlalți angajați la același loc de muncă;</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efectuează de către persoane cu pregătire în domeniul securității și sănătății în muncă (lucrătorul desemnat, serviciul intern sau serviciul extern de prevenire și protecție); instruirea la locul de muncă și instruirea periodică se efectuează de către conducătorul locului de muncă sau de către serviciul extern de prevenire și protecție, potrivit deciziei de instruire.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unitatea are sub 10 lucrători (H.G. 1425/ 2006, art. 53 alin. (2)).{{/workersRepresentativeDecision}}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color w:val="auto"/>
          <w:spacing w:val="0"/>
          <w:w w:val="100"/>
          <w:sz w:val="20"/>
          <w:szCs w:val="20"/>
          <w:lang w:val="ro-RO"/>
        </w:rPr>
        <w:t xml:space="preserve">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 xml:space="preserve">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vor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Salariatele gravide, lăuze sau care alăptează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maximum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În termen de 10 zile lucrătoare de la data la care angajatorul a fost anunțat în scris de către o salariată că se află în una dintre situațiile prevăzute la art. 2 lit. c)–e) din O.U.G. nr. 96/ 2003, acesta</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să prevină expunerea salariatelor gravide, lăuze sau care alăptează la riscuri</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gravide, lăuze sau care alăptează, care își</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 xml:space="preserve">să transfere la un alt loc de muncă, cu menținerea salariului de bază brut lunar, salariatele gravide, lăuze sau care alăptează, care desfășoară</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gravide, lăuze sau care alăptează, care desfășoară</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 xml:space="preserve">să modifice în mod corespunzător condițiile și/ sau orarul de muncă ori să o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 xml:space="preserve">În cazul în care angajatorul, din motive justificate în mod obiectiv, nu poate să îndeplinească obligația prevăzută la art. 9 alin. (2) din O.U.G. nr. 96/ 2003 (punctul 9 de mai sus), salariatele gravide, lăuze sau care alăptează au dreptul</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