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 1 – 320;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16 – 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 – 80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81 – 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97 – 107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108 – 119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120 – 150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151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210 – 232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233 – 264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265 – 272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273 – 285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286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295 – 319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legale privind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 2006, H.G. 1028/ 2006, H.G. 1146/ 2006, H.G. 493/ 2006, H.G. 259/ 2022; I.P.S.S.M. Art. 1 – 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 2006, H.G. 1028/ 2006, H.G. 1146/ 2006, H.G. 493/ 2006, H.G. 259/ 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I.P.S.S.M.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