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al respectării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6 alin. (1), (2), (3))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20"/>
          <w:szCs w:val="20"/>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20"/>
          <w:szCs w:val="20"/>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14) </w:t>
      </w:r>
      <w:r>
        <w:rPr>
          <w:rStyle w:val="tpa1"/>
          <w:rFonts w:eastAsia="Arial" w:cs="Arial" w:ascii="Arial" w:hAnsi="Arial"/>
          <w:b/>
          <w:color w:val="auto"/>
          <w:spacing w:val="0"/>
          <w:w w:val="100"/>
          <w:sz w:val="20"/>
          <w:szCs w:val="20"/>
          <w:lang w:val="ro-RO"/>
        </w:rPr>
        <w:t xml:space="preserve">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9)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activitățile desfășurate în cadrul întreprinderii nu sunt dintre cele prevăzute în anexa nr. 5 din H.G. 1425/2006;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 xml:space="preserve">din H.G. 1425/2006</w:t>
      </w:r>
      <w:r>
        <w:rPr>
          <w:rStyle w:val="tal1"/>
          <w:rFonts w:eastAsia="Arial" w:cs="Arial" w:ascii="Arial" w:hAnsi="Arial"/>
          <w:bCs/>
          <w:color w:val="auto"/>
          <w:spacing w:val="0"/>
          <w:w w:val="100"/>
          <w:sz w:val="20"/>
          <w:szCs w:val="20"/>
          <w:lang w:val="ro-RO"/>
        </w:rPr>
        <w:t xml:space="preserve">,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 xml:space="preserve">Pentru a putea să desfășoare activitățile de prevenire și protecție, lucrătorul desemnat trebuie să îndeplinească cel puțin cerințele minime de pregătire în domeniul securității și sănătății în muncă, potrivit prevederilor art. 49 din H.G. 1425/2006.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 xml:space="preserve">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 xml:space="preserve">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 xml:space="preserve">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 xml:space="preserve">H.G. 1425/2006</w:t>
      </w:r>
      <w:r>
        <w:rPr>
          <w:rStyle w:val="tli1"/>
          <w:rFonts w:eastAsia="Arial" w:cs="Arial" w:ascii="Arial" w:hAnsi="Arial"/>
          <w:bCs/>
          <w:color w:val="auto"/>
          <w:spacing w:val="0"/>
          <w:w w:val="100"/>
          <w:sz w:val="20"/>
          <w:szCs w:val="20"/>
          <w:lang w:val="ro-RO"/>
        </w:rPr>
        <w:t xml:space="preserve">,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1425/2006</w:t>
      </w:r>
      <w:r>
        <w:rPr>
          <w:rStyle w:val="tal1"/>
          <w:rFonts w:eastAsia="Arial" w:cs="Arial" w:ascii="Arial" w:hAnsi="Arial"/>
          <w:bCs/>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20 alin. (1), (2) și (4)) (1)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alin. (1) trebuie să fie:</w:t>
      </w:r>
    </w:p>
    <w:p>
      <w:pPr>
        <w:pStyle w:val="Normal"/>
        <w:widowControl/>
        <w:numPr>
          <w:ilvl w:val="0"/>
          <w:numId w:val="4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Reprezentanții lucrătorilor cu răspunderi specifice în domeniul securității și sănătății în muncă au dreptul la instruire corespunzătoare.</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21) (1) Instruirea prevăzută la art. 20 alin. (1), (2) și (4) din Legea 319/2006 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art. 20 alin. (1) și (2) din Legea 319/2006 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 xml:space="preserve">(Preluare din H.G. 1425/2006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 xml:space="preserve">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92 – conf. H.G. 767/2016 –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767/2016 –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ascii="Arial" w:hAnsi="Arial" w:cs="Arial" w:eastAsia="Arial"/>
          <w:color w:val="auto"/>
          <w:sz w:val="20"/>
          <w:szCs w:val="20"/>
          <w:lang w:val="ro-RO"/>
        </w:rPr>
        <w:t xml:space="preserve">(Preluare din H.G. 1425/2006 – Art. 100) Instruirea periodică prevăzută la art. 98 din H.G. 1425/2006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h)) În sensul Legii 319/2006,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346/2002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1425/2006 –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Legea 319/2006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1425/2006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Normele metodologice de aplicare a prevederilor Legii 319/2006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557/2007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355/2007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1876/2005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300/2006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493/2006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971/2006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1028/2006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asigurarea securității și sănătății lucrătorilor din industria extractivă de suprafață sau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îmbunătățirea securității și protecția sănătății lucrătorilor care pot fi expuși unui potențial risc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1092/2006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protecția lucrătorilor împotriva riscurilor legate de expunerea la locul de muncă la agenți cancerigeni sau mutageni ori la substanțe toxice pentru reproducere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H.G. 520/2016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referitoare la expunerea lucrătorilor la riscuri generate de câmpuri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1146/2006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1218/2006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în muncă pentru asigurarea protecției lucrătorilor împotriva riscurilor legate de prezența agenților chimici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600/2007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1875/2005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privind modul de utilizare, depozitarea, întreținerea și mentenanța, specificațiile tehnice, principiile de funcționare și sistemele de control și securitate, obligațiile și atenționările specifice, pentru fiecare echipament de muncă din dotarea unității, astfel încât acesta să fie folosit eficient și fără accidente.</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a nu expune la pericol de accidentare sau îmbolnăvire profesională atât propria persoană, cât și alte persoane care pot fi afectate de acțiunile sau omisiunile lor în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ascii="Arial" w:hAnsi="Arial" w:cs="Arial" w:eastAsia="Arial"/>
          <w:color w:val="auto"/>
          <w:sz w:val="20"/>
          <w:szCs w:val="20"/>
          <w:lang w:val="ro-RO"/>
        </w:rPr>
        <w:t xml:space="preserve">Fiecare lucrător se va prezenta la cabinetul de medicina muncii pentru efectuarea, la termenele stabilite de medicul de medicina muncii al unității, a controlului medical periodic sau, după caz, a controlului psihologic periodic, datele medicale obținute fiind evidențiate în « FIȘA DE APTITUDINE » și soluționate prin parafa medicului de medicina muncii în « FIȘA DE INSTRUIRE ÎN DOMENIUL SECURITĂȚII ȘI SĂNĂTĂȚII ÎN MUNCĂ »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Persoana care observă un incendiu are obligația să anunțe prin orice mijloc serviciile de urgență, primarul sau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319/2006 și H.G. 1425/2006),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1425/2006 – Art. 56) 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 De asemenea, angajatorul va trebui:</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99/2000 –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20"/>
          <w:szCs w:val="20"/>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Durata instruirii introductiv-generale este stabilită prin decizia privind instruirea și prin planificarea internă; în cadrul acestei instruiri se prezintă:</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ascii="Arial" w:hAnsi="Arial" w:cs="Arial" w:eastAsia="Arial"/>
          <w:color w:val="auto"/>
          <w:sz w:val="20"/>
          <w:szCs w:val="20"/>
          <w:lang w:val="ro-RO"/>
        </w:rPr>
        <w:t xml:space="preserve">Instruirea periodică durează {{training.periodicDuration}} și are periodicitatea stabilită prin programul de instruire-testare și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319/2006 și H.G. 1425/2006.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307/2006.</w:t>
      </w:r>
    </w:p>
    <w:p>
      <w:pPr>
        <w:pStyle w:val="Normal"/>
        <w:widowControl/>
        <w:numPr>
          <w:ilvl w:val="0"/>
          <w:numId w:val="7"/>
        </w:numPr>
        <w:spacing w:before="0" w:after="40"/>
        <w:jc w:val="left"/>
        <w:rPr>
          <w:rFonts w:ascii="Arial" w:hAnsi="Arial" w:cs="Arial"/>
          <w:sz w:val="18"/>
          <w:szCs w:val="18"/>
          <w:lang w:val="ro-RO"/>
        </w:rPr>
      </w:pPr>
      <w:r>
        <w:rPr>
          <w:rFonts w:ascii="Arial" w:hAnsi="Arial" w:cs="Arial" w:eastAsia="Arial"/>
          <w:color w:val="auto"/>
          <w:sz w:val="20"/>
          <w:szCs w:val="20"/>
          <w:lang w:val="ro-RO"/>
        </w:rPr>
        <w:t xml:space="preserve">Angajatorul sau persoana desemnată de acesta are obligația de a întocmi tematicile anuale de instruire și de a efectua instructajele lucrătorilor în domeniul situațiilor de urgență, potrivit Dispozițiilor generale privind instruirea salariaților în domeniul situațiilor de urgență, aprobate prin OMAI 712/2005.</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307/2006.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nu este stabilit, deoarece unitatea are sub 10 lucrători (H.G. 1425/2006 –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1425/2006 –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1425/2006 –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etc.;</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anunțarea, organizarea concursurilor sau examenelor și selecția candidaților pentru posturile vacante;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20"/>
          <w:szCs w:val="20"/>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20"/>
          <w:szCs w:val="20"/>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20"/>
          <w:szCs w:val="20"/>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20"/>
          <w:szCs w:val="20"/>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20"/>
          <w:szCs w:val="20"/>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Pentru toate activitățile susceptibile să prezinte un risc specific de expunere la agenți, procedee și condiții de muncă, a căror listă este prevăzută în anexa nr. 1 din O.U.G. 96/2003,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96/2003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96/2003,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20"/>
          <w:szCs w:val="20"/>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20"/>
          <w:szCs w:val="20"/>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să păstreze confidențialitatea asupra stării de graviditate a salariatei și să nu anunțe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20"/>
          <w:szCs w:val="20"/>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20"/>
          <w:szCs w:val="20"/>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20"/>
          <w:szCs w:val="20"/>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20"/>
          <w:szCs w:val="20"/>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96/2003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Letter"/>
      <w:lvlText w:val="%3)"/>
      <w:lvlJc w:val="left"/>
      <w:pPr>
        <w:tabs>
          <w:tab w:val="num" w:pos="720"/>
        </w:tabs>
        <w:ind w:left="720" w:hanging="360"/>
      </w:pPr>
      <w:rPr>
        <w:b/>
        <w:i w:val="false"/>
        <w:sz w:val="20"/>
        <w:szCs w:val="20"/>
      </w:rPr>
    </w:lvl>
    <w:lvl w:ilvl="3">
      <w:start w:val="1"/>
      <w:numFmt w:val="lowerLetter"/>
      <w:lvlText w:val="%4)"/>
      <w:lvlJc w:val="left"/>
      <w:pPr>
        <w:tabs>
          <w:tab w:val="num" w:pos="720"/>
        </w:tabs>
        <w:ind w:left="720" w:hanging="360"/>
      </w:pPr>
      <w:rPr>
        <w:b/>
        <w:i w:val="false"/>
        <w:sz w:val="20"/>
        <w:szCs w:val="20"/>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20"/>
        <w:szCs w:val="20"/>
        <w:lang w:val="it-IT"/>
      </w:rPr>
    </w:lvl>
    <w:lvl w:ilvl="3">
      <w:start w:val="1"/>
      <w:numFmt w:val="decimal"/>
      <w:lvlText w:val="%4."/>
      <w:lvlJc w:val="left"/>
      <w:pPr>
        <w:tabs>
          <w:tab w:val="num" w:pos="720"/>
        </w:tabs>
        <w:ind w:left="720" w:hanging="360"/>
      </w:pPr>
      <w:rPr>
        <w:b/>
        <w:i w:val="false"/>
        <w:sz w:val="20"/>
        <w:szCs w:val="20"/>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20"/>
        <w:szCs w:val="20"/>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