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Prezentul document a fost reîntocmit în conformitate cu art. 7 alin. (3) lit. i), art. 20 alin. (1) lit. a) din Legea 319/ 2006 (Legea securității și sănătății în muncă), respectiv cu art. 15 alin. (1) pct.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319/ 2006, Art. 1, 3, 5 – 7, 9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H.G. 1425/ 2006, Art. 2, 14, 15, 28 – 31, 52 – 56, 74 – 100, 108 – 115, 116¹, 117, 118, 120, 121, 139, 141, 142;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53/ 2003 (actualizată), Art. 37 – 40, 111 – 132, 134, 135, 137,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 xml:space="preserve">Art. 2, 3, 5, 6, Anexele 1, 2 (cu completări de mijloace de semnalizare),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355/ 2007, Art. 2, 5, 7 – 25, 27, 28, 30 – 34, 36, 37, 39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O.U.G. 99/ 2000, Art. 1, 3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1048/ 2006, Art. 3 – 7, 11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xml:space="preserve">, Art. 28;</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O.U.G. 195/ 2002 cu modificările și completările ulterioare, Art. 1, 5, 7 – 10, 20, 21, 29 – 33, 35, 36, 55 – 60, 66, 68, 70, 72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 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 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 – (3)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 xml:space="preserve">încetarea aptitudinii unei mașini, instalații, unui utilaj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 xml:space="preserve">factor propriu elementelor componente ale sistemului de muncă executant-sarcină de muncă-mijloace de producție-mediu de muncă și care, în condițiile unei situații periculoase, determină probabilitatea sau gravitatea producerii unei leziuni sau afectării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 xml:space="preserve">sursa unei posibile leziuni sau afectări a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 xml:space="preserve">prevenire realizată în stadiul de concepție/ 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 xml:space="preserve">probabilitatea asociată cu gravitatea unei posibile leziuni sau afectări 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 xml:space="preserve">orice zonă situată în interiorul sau în jurul echipamentului de muncă în care o persoană este expusă riscului de leziune sau afectare 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xml:space="preserve">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 xml:space="preserve">să fie abilitat de Comisia de abilitare a serviciilor externe de prevenire și protecție și de avizare a documentațiilor cu caracter tehnic de informare și instruire în domeniul securității și sănătății în muncă, în conformitate cu procedura stabilită la art. 35 – 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b/>
          <w:bCs/>
          <w:color w:val="auto"/>
          <w:spacing w:val="0"/>
          <w:w w:val="100"/>
          <w:sz w:val="20"/>
          <w:szCs w:val="20"/>
          <w:u w:val="none"/>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b/>
          <w:bCs/>
          <w:color w:val="auto"/>
          <w:spacing w:val="0"/>
          <w:w w:val="100"/>
          <w:sz w:val="20"/>
          <w:szCs w:val="20"/>
          <w:u w:val="none"/>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 xml:space="preserve">însoțesc echipa/ 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(1¹)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(5)</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b/>
          <w:bCs/>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 xml:space="preserve">ptitudinea în muncă reprezintă capacitatea lucrătorului din punct de vedere medical de a desfășura activitatea la locul de muncă în profesia/ 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stabilirea aptitudinii în muncă, medicul specialist de medicina muncii poate solicita și alte investigații și examene medicale de specialitate, suplimentare celor prevăzute la art. 8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 xml:space="preserve">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anamneza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b/>
          <w:bCs/>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r>
        <w:rPr>
          <w:rFonts w:eastAsia="Arial" w:cs="Arial" w:ascii="Arial" w:hAnsi="Arial"/>
          <w:b/>
          <w:bCs/>
          <w:color w:val="auto"/>
          <w:spacing w:val="0"/>
          <w:w w:val="100"/>
          <w:sz w:val="20"/>
          <w:szCs w:val="20"/>
          <w:u w:val="none"/>
          <w:lang w:val="ro-RO"/>
        </w:rPr>
        <w:t xml:space="preserve">(6¹) </w:t>
      </w:r>
      <w:r>
        <w:rPr>
          <w:rStyle w:val="tal1"/>
          <w:rFonts w:eastAsia="Arial" w:cs="Arial" w:ascii="Arial" w:hAnsi="Arial"/>
          <w:color w:val="auto"/>
          <w:spacing w:val="0"/>
          <w:w w:val="100"/>
          <w:sz w:val="20"/>
          <w:szCs w:val="20"/>
          <w:lang w:val="ro-RO"/>
        </w:rPr>
        <w:t>Medicul de medicina muncii poate solicita medicului de familie adeverință/ scrisoare medicală care să ateste starea de sănătate a viitorului angajat.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 xml:space="preserve">În vederea conștientizării nevoilor și obiectivelor privind sănătatea și securitatea în muncă în rândul lucrătorilor, a angajatorilor sau a altor factori implicați în acest scop, medicii de medicina muncii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 xml:space="preserve">Contestația prevăzută la art. 30 din H.G. 355/ 2007 se adresează direcției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 xml:space="preserve">Direcția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 xml:space="preserve">46/ 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 xml:space="preserve">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H.G. 1091/ 2006, angajatorul trebuie să ia toate măsurile necesare pentru a se asigura că aceste modificări, extinderi și/ 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ind w:left="1080" w:hanging="36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ind w:left="1080" w:hanging="36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ind w:left="1080" w:hanging="36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120"/>
        <w:ind w:left="1080" w:hanging="36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w:t>
      </w:r>
      <w:r>
        <w:rPr>
          <w:rFonts w:eastAsia="Arial" w:cs="Arial" w:ascii="Arial" w:hAnsi="Arial"/>
          <w:color w:val="auto"/>
          <w:spacing w:val="0"/>
          <w:w w:val="100"/>
          <w:sz w:val="20"/>
          <w:szCs w:val="20"/>
          <w:lang w:val="ro-RO"/>
        </w:rPr>
        <w:t>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b/>
          <w:bCs/>
          <w:color w:val="auto"/>
          <w:spacing w:val="0"/>
          <w:w w:val="100"/>
          <w:sz w:val="20"/>
          <w:szCs w:val="20"/>
          <w:u w:val="none"/>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 xml:space="preserve">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nu se aplică semnalizării pentru introducerea pe piață a substanțelor și amestecurilor periculoase, a produselor și/ sau a echipamentelor, cu excepția cazului în care alte dispoziții legale fac referire în mod expres la aceasta.</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Atunci când riscurile nu pot fi evitate sau reduse suficient prin mijloace tehnice de protecție colectivă ori prin măsuri, metode sau procedee de organizare a muncii, angajatorul trebuie să prevadă semnalizarea de securitate și/ sau de sănătate la locul de muncă, în conformitate cu prevederile H.G. 971/ 2006,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 xml:space="preserve">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 xml:space="preserve">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MĂNUȘI OBLIGATORII</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SCARĂ</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ind w:left="1080" w:hanging="36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ind w:left="1080" w:hanging="36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 xml:space="preserve">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 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 xml:space="preserve">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 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 – (4)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 – (4)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 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 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122)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 – 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 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 xml:space="preserve">–</w:t>
      </w:r>
      <w:r>
        <w:rPr>
          <w:rFonts w:eastAsia="Arial" w:cs="Arial" w:ascii="Arial" w:hAnsi="Arial"/>
          <w:b w:val="false"/>
          <w:i/>
          <w:color w:val="auto"/>
          <w:spacing w:val="0"/>
          <w:w w:val="100"/>
          <w:sz w:val="20"/>
          <w:szCs w:val="20"/>
          <w:lang w:val="ro-RO"/>
        </w:rPr>
        <w:t xml:space="preserve"> Norma de muncă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 xml:space="preserve">denumirea/ numele angajatorului pe teritoriul căruia s-a produs accidentul și, dacă este cazul, denumirea/ numele angajatorului la care este/ 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 xml:space="preserve">sediul/ 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b/>
          <w:bCs/>
          <w:color w:val="auto"/>
          <w:spacing w:val="0"/>
          <w:w w:val="100"/>
          <w:sz w:val="20"/>
          <w:szCs w:val="20"/>
          <w:u w:val="none"/>
          <w:lang w:val="ro-RO"/>
        </w:rPr>
        <w:t>(4)</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b/>
          <w:bCs/>
          <w:color w:val="auto"/>
          <w:spacing w:val="0"/>
          <w:w w:val="100"/>
          <w:sz w:val="20"/>
          <w:szCs w:val="20"/>
          <w:u w:val="none"/>
          <w:lang w:val="ro-RO"/>
        </w:rPr>
        <w:t>(5)</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 xml:space="preserve">Cercetarea se face imediat după comunicare, în conformitate cu prevederile art. 29 alin. (1) din Legea 319/ 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 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 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 2001 privind înființarea, organizarea și funcționarea serviciilor publice comunitare pentru situații de urgență, aprobată cu modificări și completări prin Legea nr. 363/ 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din Legea 346/ 2002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 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 – 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din Legea 346/ 2002, dar pentru care nu se mai recomandă programe individuale de recuperare conform prevederilor legale în vigoare, biletele de tratament se acordă în baza unei recomandări medicale emise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din Legea 346/ 2002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 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 – 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concediul de risc maternal este concediul de care beneficiază salariatele prevăzute la art. 2 lit. c) – e) din O.U.G. 96/ 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O.U.G. 96/ 2003 – Art. 3) (1)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prevină expunerea salariatelor prevăzute la art. 2 lit. c) – e) din O.U.G. 96/ 2003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O.U.G. 96/ 2003 – Art. 6) (1)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O.U.G. 96/ 2003 – Art. 10) (1) În cazul în care angajatorul, din motive justificate în mod obiectiv, nu poate să îndeplinească obligația prevăzută la art. 9 alin. (2) 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după data revenirii din concediul de lăuzie obligatoriu, salariatele prevăzute la art. 2 lit. d) și e) din O.U.G. 96/ 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158/ 2005 – Art. 31) (1) Dreptul la concediul de risc maternal se acordă în condițiile prevăzute de Ordonanța de urgență a Guvernului nr. 96/ 2003 privind protecția maternității la locurile de muncă, aprobată cu modificări și completări prin Legea nr. 25/ 2004.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 durata concediului de risc maternal se acordă o indemnizație de risc maternal care se suportă integral din bugetul Fondului național unic de asigurări sociale de sănătate.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Concediul și indemnizația de risc maternal se acordă fără condiție de stagiu de asigurare.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Cuantumul indemnizației prevăzute la art. 31 alin. (2) din O.U.G. 158/ 2005 reprezintă 75% din baza de calcul stabilită conform prevederilor art. 10 din O.U.G. 158/ 2005.</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20) (1) Salariatele prevăzute la art. 2 lit. c) – e) din O.U.G. 96/ 2003 nu pot desfășura muncă în condiții cu caracter insalubru sau greu de suportat.</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o salariată care desfășoară în mod curent muncă cu caracter insalubru sau greu de suportat se încadrează în prevederile art. 2 lit. c) – e) din O.U.G. 96/ 2003, angajatorul are obligația ca, pe baza solicitării scrise a salariatei, să o transfere la un alt loc de muncă,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Denumirea și enumerarea muncilor cu caracter insalubru sau greu de suportat la care face referire art. 20 alin. (1) din O.U.G. 96/ 2003 sunt stabilite prin normele de aplicare a prezentei ordonanțe de urgență.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Prevederile art. 19 alin. (3) și (4) din O.U.G. 96/ 2003 se aplică în mod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 xml:space="preserve">Angajatorul trebuie să dispună de programe de instruire-testare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 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 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 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(3²)</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(3³)</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 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 sau unitate cu permisiunea angajatorului, cu excepția altor participanți la procesul de muncă, așa cum sunt definiți potrivit art. 5 lit. c) din Legea 319/ 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 2006 – Instruirea lucrătorilor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Instruirea la locul de muncă se va efectua pe baza tematicilor întocmite de către angajatorul care și-a asumat atribuțiile din domeniul securității și sănătății în muncă/ lucrătorul desemnat/ serviciul intern/ 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Intervalul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 xml:space="preserve">Instruirea periodică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Durata instruirii periodice prevăzute la art. 98 din H.G. 1425/ 2006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 xml:space="preserve">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Altfel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 xml:space="preserve">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Costuri diverse (penalizări pentru întârzieri la livrare, alterarea imaginii firmei în rândul clienților, declasare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prestigiului unității</w:t>
      </w:r>
      <w:r>
        <w:rPr>
          <w:rFonts w:eastAsia="Arial" w:cs="Arial" w:ascii="Arial" w:hAnsi="Arial"/>
          <w:color w:val="auto"/>
          <w:spacing w:val="0"/>
          <w:w w:val="100"/>
          <w:sz w:val="20"/>
          <w:szCs w:val="20"/>
          <w:lang w:val="ro-RO"/>
        </w:rPr>
        <w:t xml:space="preserve">: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unității.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participând la un curs privind acordarea primului ajutor, adecvat mărimii și/ sau riscurilor spe</w:t>
      </w:r>
      <w:r>
        <w:rPr>
          <w:rStyle w:val="tax1"/>
          <w:rFonts w:eastAsia="Arial" w:cs="Arial" w:ascii="Arial" w:hAnsi="Arial"/>
          <w:b w:val="false"/>
          <w:color w:val="auto"/>
          <w:spacing w:val="0"/>
          <w:w w:val="100"/>
          <w:sz w:val="20"/>
          <w:szCs w:val="20"/>
          <w:lang w:val="ro-RO"/>
        </w:rPr>
        <w:t>cifice unității (conform Legii 319/ 2006, art. 10, alin. (3)).</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 – 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Iodul se folosește sub formă de tinctură (1 – 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(apă oxigenată) – prin oxigenul pe care-l degajă are 2 roluri: unul mecanic și un rol dezinfectant și citofilactic (ocazionează dezvoltarea țesuturilor moi). În plăgile arse se recomandă spălături zilnice cu apă oxigenată (2 – 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 xml:space="preserve">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 – 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 xml:space="preserve"/>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w:t>
      </w:r>
      <w:r>
        <w:rPr>
          <w:rStyle w:val="pt1"/>
          <w:rFonts w:eastAsia="Arial" w:cs="Arial" w:ascii="Arial" w:hAnsi="Arial"/>
          <w:b/>
          <w:bCs/>
          <w:i/>
          <w:color w:val="auto"/>
          <w:spacing w:val="0"/>
          <w:w w:val="100"/>
          <w:sz w:val="20"/>
          <w:szCs w:val="20"/>
          <w:lang w:val="ro-RO"/>
        </w:rPr>
        <w:t xml:space="preserve">(1)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b/>
          <w:bCs/>
          <w:i/>
          <w:color w:val="auto"/>
          <w:spacing w:val="0"/>
          <w:w w:val="100"/>
          <w:sz w:val="20"/>
          <w:szCs w:val="20"/>
          <w:lang w:val="ro-RO"/>
        </w:rPr>
        <w:t xml:space="preserve">(2) </w:t>
      </w:r>
      <w:r>
        <w:rPr>
          <w:rFonts w:eastAsia="Arial" w:cs="Arial" w:ascii="Arial" w:hAnsi="Arial"/>
          <w:i/>
          <w:color w:val="auto"/>
          <w:spacing w:val="0"/>
          <w:w w:val="100"/>
          <w:sz w:val="20"/>
          <w:szCs w:val="20"/>
          <w:lang w:val="ro-RO"/>
        </w:rPr>
        <w:t>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 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din O.U.G. 195/ 2002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 la O.U.G. 195/ 2002.</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 xml:space="preserve">semnalele speciale de avertizare, luminoase sau sonore ale autovehiculelor, prevăzute la art. 32 alin. (2) lit. a) și b) din O.U.G. 195/ 2002;</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săgeată,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