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 1 – 322;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108 – 119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120 – 150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151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210 – 234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235 – 266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267 – 274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275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288 – 296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297 – 321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legale privind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 2006, H.G. 1028/ 2006, H.G. 1146/ 2006, H.G. 493/ 2006, H.G. 259/ 2022; I.P.S.S.M. Art. 1 – 297;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 2006, H.G. 1028/ 2006, H.G. 1146/ 2006, H.G. 493/ 2006, H.G. 259/ 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I.P.S.S.M.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244 – 263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264 – 297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