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2.wmf" ContentType="image/x-wmf"/>
  <Override PartName="/word/media/image3.wmf" ContentType="image/x-wmf"/>
  <Override PartName="/word/media/image6.emf" ContentType="image/x-em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240"/>
        <w:ind w:hanging="0"/>
        <w:jc w:val="center"/>
        <w:rPr>
          <w:rStyle w:val="tpt1"/>
          <w:rFonts w:ascii="Arial" w:hAnsi="Arial" w:cs="Arial"/>
          <w:b/>
          <w:lang w:val="it-IT"/>
        </w:rPr>
      </w:pPr>
      <w:r>
        <w:rPr>
          <w:rStyle w:val="tpt1"/>
          <w:rFonts w:eastAsia="Arial" w:cs="Arial" w:ascii="Arial" w:hAnsi="Arial"/>
          <w:b/>
          <w:color w:val="auto"/>
          <w:spacing w:val="0"/>
          <w:w w:val="100"/>
          <w:sz w:val="24"/>
          <w:szCs w:val="20"/>
          <w:lang w:val="ro-RO"/>
        </w:rPr>
        <w:t>MATERIAL DE INFORMARE A ANGAJATORULUI CU PRIVIRE LA PREVEDERILE LEGISLATIVE DIN DOMENIUL SECURITĂȚII ȘI SĂNĂTĂȚII ÎN MUNCĂ PENTRU {{client.legalName}}</w:t>
      </w:r>
    </w:p>
    <w:tbl>
      <w:tblPr>
        <w:tblW w:w="5000" w:type="pct"/>
        <w:jc w:val="left"/>
        <w:tblInd w:w="55" w:type="dxa"/>
        <w:tblLayout w:type="fixed"/>
        <w:tblCellMar>
          <w:top w:w="55" w:type="dxa"/>
          <w:left w:w="55" w:type="dxa"/>
          <w:bottom w:w="55" w:type="dxa"/>
          <w:right w:w="55" w:type="dxa"/>
        </w:tblCellMar>
      </w:tblPr>
      <w:tblGrid>
        <w:gridCol w:w="4677"/>
        <w:gridCol w:w="4678"/>
      </w:tblGrid>
      <w:tr>
        <w:trPr>
          <w:cantSplit/>
        </w:trPr>
        <w:tc>
          <w:tcPr>
            <w:tcW w:w="4677" w:type="dxa"/>
            <w:tcBorders/>
          </w:tcPr>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întocmit și predat un exemplar</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informat angajatorul</w:t>
            </w:r>
          </w:p>
          <w:p>
            <w:pPr>
              <w:pStyle w:val="TableContents"/>
              <w:keepNext w:val="false"/>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{{provider.representativeName}}</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{{provider.representativeRole}} al {{provider.legalName}}</w:t>
            </w:r>
          </w:p>
        </w:tc>
        <w:tc>
          <w:tcPr>
            <w:tcW w:w="4678" w:type="dxa"/>
            <w:tcBorders/>
          </w:tcPr>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primit un exemplar</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luat cunoștință</w:t>
            </w:r>
          </w:p>
          <w:p>
            <w:pPr>
              <w:pStyle w:val="TableContents"/>
              <w:keepNext w:val="false"/>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{{client.representativeName}}</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{{client.representativeRole}} al {{client.legalName}}</w:t>
            </w:r>
          </w:p>
        </w:tc>
      </w:tr>
      <w:tr>
        <w:trPr>
          <w:cantSplit/>
        </w:trPr>
        <w:tc>
          <w:tcPr>
            <w:tcW w:w="4677" w:type="dxa"/>
            <w:tcBorders/>
          </w:tcPr>
          <w:p>
            <w:pPr>
              <w:pStyle w:val="TableContents"/>
              <w:keepNext w:val="false"/>
              <w:spacing w:before="240" w:after="0"/>
              <w:ind w:hanging="0" w:left="0"/>
              <w:jc w:val="center"/>
              <w:rPr>
                <w:rFonts w:ascii="Arial" w:hAnsi="Arial" w:eastAsia="Arial" w:cs="Arial"/>
                <w:b w:val="false"/>
                <w:i w:val="false"/>
                <w:color w:val="auto"/>
                <w:sz w:val="20"/>
                <w:lang w:val="ro-RO"/>
              </w:rPr>
            </w:pPr>
            <w:r>
              <w:rPr>
                <w:rFonts w:eastAsia="Arial" w:cs="Arial" w:ascii="Arial" w:hAnsi="Arial"/>
                <w:color w:val="auto"/>
                <w:spacing w:val="0"/>
                <w:w w:val="100"/>
                <w:sz w:val="20"/>
                <w:szCs w:val="20"/>
                <w:lang w:val="ro-RO"/>
              </w:rPr>
              <w:t>Data: ____________________</w:t>
            </w:r>
          </w:p>
        </w:tc>
        <w:tc>
          <w:tcPr>
            <w:tcW w:w="4678" w:type="dxa"/>
            <w:tcBorders/>
          </w:tcPr>
          <w:p>
            <w:pPr>
              <w:pStyle w:val="TableContents"/>
              <w:keepNext w:val="false"/>
              <w:spacing w:before="240" w:after="0"/>
              <w:ind w:hanging="0" w:left="0"/>
              <w:jc w:val="center"/>
              <w:rPr>
                <w:rFonts w:ascii="Arial" w:hAnsi="Arial" w:eastAsia="Arial" w:cs="Arial"/>
                <w:b w:val="false"/>
                <w:i w:val="false"/>
                <w:color w:val="auto"/>
                <w:sz w:val="20"/>
                <w:lang w:val="ro-RO"/>
              </w:rPr>
            </w:pPr>
            <w:r>
              <w:rPr>
                <w:rFonts w:eastAsia="Arial" w:cs="Arial" w:ascii="Arial" w:hAnsi="Arial"/>
                <w:color w:val="auto"/>
                <w:spacing w:val="0"/>
                <w:w w:val="100"/>
                <w:sz w:val="20"/>
                <w:szCs w:val="20"/>
                <w:lang w:val="ro-RO"/>
              </w:rPr>
              <w:t>Data: ____________________</w:t>
            </w:r>
          </w:p>
        </w:tc>
      </w:tr>
    </w:tbl>
    <w:p>
      <w:pPr>
        <w:pStyle w:val="Normal"/>
        <w:keepNext w:val="true"/>
        <w:widowControl/>
        <w:numPr>
          <w:ilvl w:val="0"/>
          <w:numId w:val="9"/>
        </w:numPr>
        <w:spacing w:before="120" w:after="120"/>
        <w:jc w:val="left"/>
        <w:rPr>
          <w:rFonts w:ascii="Arial" w:hAnsi="Arial" w:cs="Arial"/>
          <w:sz w:val="18"/>
          <w:szCs w:val="18"/>
          <w:lang w:val="de-DE"/>
        </w:rPr>
      </w:pPr>
      <w:r>
        <w:rPr>
          <w:rFonts w:eastAsia="Arial" w:cs="Arial" w:ascii="Arial" w:hAnsi="Arial"/>
          <w:color w:val="auto"/>
          <w:spacing w:val="0"/>
          <w:w w:val="100"/>
          <w:sz w:val="20"/>
          <w:szCs w:val="20"/>
          <w:lang w:val="ro-RO"/>
        </w:rPr>
        <w:t>Odată cu prezentul material informativ, s-au predat și următoarele documente:</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Decizia/ Dispoziția privind responsabilii cu instruirea în domeniul securității și sănătății în muncă</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Decizia/ Dispoziția de constituire a echipei de evaluare a riscurilor de accidentare și/ sau îmbolnăvire profesională</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Decizia/ Dispoziția privind responsabilii cu acordarea primului ajutor</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Decizia/ Dispoziția privind personalul desemnat cu luarea măsurilor în caz de pericol grav și iminent</w:t>
      </w:r>
    </w:p>
    <w:p>
      <w:pPr>
        <w:pStyle w:val="Normal"/>
        <w:widowControl/>
        <w:spacing w:before="0" w:after="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{{#workersRepresentativeDecision}}</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Decizia/ Dispoziția privind desemnarea reprezentanților lucrătorilor cu răspunderi specifice în domeniul securității și sănătății în muncă</w:t>
      </w:r>
    </w:p>
    <w:p>
      <w:pPr>
        <w:pStyle w:val="Normal"/>
        <w:widowControl/>
        <w:spacing w:before="0" w:after="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{{/workersRepresentativeDecision}}</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Registre de evidență a evenimentelor</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Material de instruire în domeniul securității și sănătății în muncă pentru instruirea introductiv-generală (cod MISSMIG)</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Instrucțiuni proprii în domeniul securității și sănătății în muncă (cod IPSSM)</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Tematica de instruire și programul de instruire – testare la nivelul unității în domeniul securității și sănătății în muncă (cod TISSM)</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Test de verificare a cunoștințelor în urma instruirii introductiv-generale în domeniul securității și sănătății în muncă (cod TASSM)</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Lista internă cu necesarul de dotare cu echipament individual de protecție (E.I.P.) a lucrătorilor (cod LN E.I.P.)</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Document justificativ de control privind verificarea tematică la locurile de muncă, informarea asupra deficiențelor constatate și propuneri de măsuri de prevenire și protecție (cod RSSM)</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Regulament intern privind controlul propriu al respectării prevederilor legale, a dispozițiilor, instrucțiunilor și reglementărilor interne în domeniul securității și sănătății în muncă (cod R.I.C.P. SSM)</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 xml:space="preserve">Evaluarea riscurilor de accidentare și/ sau îmbolnăvire profesională (Descrierea metodei elaborate de I.N.C.D.P.M. București, utilizată de evaluator) (cod EVR)</w:t>
      </w:r>
    </w:p>
    <w:p>
      <w:pPr>
        <w:pStyle w:val="Normal"/>
        <w:widowControl/>
        <w:numPr>
          <w:ilvl w:val="0"/>
          <w:numId w:val="53"/>
        </w:numPr>
        <w:spacing w:before="0" w:after="40"/>
        <w:ind w:left="720" w:hanging="360"/>
        <w:jc w:val="left"/>
        <w:rPr>
          <w:rFonts w:ascii="Arial" w:hAnsi="Arial" w:cs="Arial"/>
          <w:sz w:val="20"/>
          <w:szCs w:val="20"/>
          <w:lang w:val="ro-RO"/>
        </w:rPr>
      </w:pPr>
      <w:r>
        <w:rPr>
          <w:rFonts w:eastAsia="Arial" w:cs="Arial" w:ascii="Arial" w:hAnsi="Arial"/>
          <w:color w:val="auto"/>
          <w:spacing w:val="0"/>
          <w:w w:val="100"/>
          <w:sz w:val="20"/>
          <w:szCs w:val="20"/>
          <w:lang w:val="ro-RO"/>
        </w:rPr>
        <w:t>Planul de prevenire și protecție întocmit în baza evaluării riscurilor (cod PPP)</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Cuprins material informativ</w:t>
      </w:r>
      <w:r>
        <w:rPr>
          <w:rStyle w:val="tpt1"/>
          <w:rFonts w:eastAsia="Arial" w:cs="Arial" w:ascii="Arial" w:hAnsi="Arial"/>
          <w:b/>
          <w:color w:val="auto"/>
          <w:spacing w:val="0"/>
          <w:w w:val="100"/>
          <w:sz w:val="20"/>
          <w:szCs w:val="20"/>
          <w:lang w:val="ro-RO"/>
        </w:rPr>
        <w:t xml:space="preserve"> – {{client.legalName}}</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 xml:space="preserve">Capitolul I. Prevederi generale pentru angajator conform Legii 319/2006</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II. Obligațiile angajatorului în domeniul securității și sănătății în muncă</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III. Obligațiile și drepturile angajaților în domeniul securității și sănătății în muncă</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IV. Organizarea activităților de prevenire și protecție</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IV.I. Organizarea activităților de prevenire și protecție pentru întreprinderile cu până la 9 lucrători inclusiv</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IV.II. Organizarea activităților de prevenire și protecție pentru întreprinderile care au între 10 și 49 de lucrători inclusiv</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IV.III. Organizarea activităților de prevenire și protecție pentru întreprinderile care au între 50 și 249 de lucrători inclusiv</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IV.IV. Organizarea activităților de prevenire și protecție în cazul întreprinderilor și/ sau unităților care au peste 250 de lucrători</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IV.V. Desemnarea lucrătorilor pentru activitățile de prevenire și protecție</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IV.VI. Lucrătorii desemnați</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IV.VII. Servicii externe de prevenire și protecție</w:t>
      </w:r>
    </w:p>
    <w:p>
      <w:pPr>
        <w:pStyle w:val="Normal"/>
        <w:widowControl/>
        <w:spacing w:before="0" w:after="40"/>
        <w:ind w:left="360" w:hanging="0"/>
        <w:jc w:val="left"/>
        <w:rPr>
          <w:rFonts w:ascii="Arial" w:hAnsi="Arial" w:cs="Arial"/>
          <w:sz w:val="20"/>
          <w:szCs w:val="20"/>
          <w:lang w:val="ro-RO"/>
        </w:rPr>
      </w:pPr>
      <w:r>
        <w:rPr>
          <w:rFonts w:eastAsia="Arial" w:cs="Arial" w:ascii="Arial" w:hAnsi="Arial"/>
          <w:color w:val="auto"/>
          <w:spacing w:val="0"/>
          <w:w w:val="100"/>
          <w:sz w:val="20"/>
          <w:szCs w:val="20"/>
          <w:lang w:val="ro-RO"/>
        </w:rPr>
        <w:t>Subcapitolul IV.VIII. Reprezentanții lucrătorilor cu răspunderi specifice</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V. Informații privind instruirea lucrătorilor în domeniul securității și sănătății în muncă</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VI. Informații cu privire la comitetul de securitate și sănătate în muncă</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 xml:space="preserve">Capitolul VII. Comunicarea, cercetarea, înregistrarea și raportarea evenimentelor, accidentelor de muncă și bolilor profesionale</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VIII. Evaluarea riscurilor de accidentare și/ sau îmbolnăvire profesională</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IX. Informații privind necesarul, întocmirea și implementarea necesarului de documentații cu caracter tehnic de informare și instruire a lucrătorilor în domeniul securității și sănătății în muncă</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X. Informații privind întocmirea fișei postului</w:t>
      </w:r>
    </w:p>
    <w:p>
      <w:pPr>
        <w:pStyle w:val="Normal"/>
        <w:widowControl/>
        <w:spacing w:before="0" w:after="40"/>
        <w:ind w:left="0" w:hanging="0"/>
        <w:jc w:val="left"/>
        <w:rPr>
          <w:rFonts w:ascii="Arial" w:hAnsi="Arial" w:cs="Arial"/>
          <w:sz w:val="20"/>
          <w:szCs w:val="20"/>
          <w:lang w:val="ro-RO"/>
        </w:rPr>
      </w:pPr>
      <w:r>
        <w:rPr>
          <w:rFonts w:eastAsia="Arial" w:cs="Arial" w:ascii="Arial" w:hAnsi="Arial"/>
          <w:color w:val="auto"/>
          <w:spacing w:val="0"/>
          <w:w w:val="100"/>
          <w:sz w:val="20"/>
          <w:szCs w:val="20"/>
          <w:lang w:val="ro-RO"/>
        </w:rPr>
        <w:t>Capitolul XI. Informații privind întocmirea regulamentului intern</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Capitolul I. Prevederi generale pentru angajator conform Legii 319/2006</w:t>
      </w:r>
    </w:p>
    <w:p>
      <w:pPr>
        <w:pStyle w:val="Heading1"/>
        <w:widowControl/>
        <w:numPr>
          <w:ilvl w:val="0"/>
          <w:numId w:val="9"/>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(Preluare din Legea 319/2006 – Art. 6 alin. (1), (2), (3))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Angajatorul are obligația de a asigura securitatea și sănătatea lucrătorilor în toate aspectele legate de muncă.</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cazul în care un angajator apelează la servicii externe, acesta nu este exonerat de responsabilitățile sale în acest domeniu.</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Obligațiile lucrătorilor în domeniul securității și sănătății în muncă nu aduc atingere principiului responsabilității angajatorului.</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II. Obligațiile angajatorului în domeniul securității și sănătății în muncă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7) </w:t>
      </w: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 xml:space="preserve">În cadrul responsabilităților sale, angajatorul are obligația să ia măsurile necesare pentru:</w:t>
      </w:r>
    </w:p>
    <w:p>
      <w:pPr>
        <w:pStyle w:val="Normal"/>
        <w:widowControl/>
        <w:numPr>
          <w:ilvl w:val="2"/>
          <w:numId w:val="2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asigurarea securității și protecția sănătății lucrătorilor;</w:t>
      </w:r>
    </w:p>
    <w:p>
      <w:pPr>
        <w:pStyle w:val="Normal"/>
        <w:widowControl/>
        <w:numPr>
          <w:ilvl w:val="2"/>
          <w:numId w:val="2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prevenirea riscurilor profesionale;</w:t>
      </w:r>
    </w:p>
    <w:p>
      <w:pPr>
        <w:pStyle w:val="Normal"/>
        <w:widowControl/>
        <w:numPr>
          <w:ilvl w:val="2"/>
          <w:numId w:val="2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informarea și instruirea lucrătorilor;</w:t>
      </w:r>
    </w:p>
    <w:p>
      <w:pPr>
        <w:pStyle w:val="Normal"/>
        <w:widowControl/>
        <w:numPr>
          <w:ilvl w:val="2"/>
          <w:numId w:val="2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asigurarea cadrului organizatoric și a mijloacelor necesare securității și sănătății în muncă.</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Angajatorul are obligația să urmărească adaptarea măsurilor prevăzute la alin. (1), ținând seama de modificarea condițiilor, și pentru îmbunătățirea situațiilor existente.</w:t>
      </w:r>
    </w:p>
    <w:p>
      <w:pPr>
        <w:pStyle w:val="Normal"/>
        <w:keepNext/>
        <w:widowControl/>
        <w:spacing w:before="0" w:after="6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Angajatorul are obligația să implementeze măsurile prevăzute la alin. (1) și (2) pe baza următoarelor principii generale de prevenire:</w:t>
      </w:r>
    </w:p>
    <w:p>
      <w:pPr>
        <w:pStyle w:val="Normal"/>
        <w:widowControl/>
        <w:numPr>
          <w:ilvl w:val="0"/>
          <w:numId w:val="49"/>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evitarea riscurilor;</w:t>
      </w:r>
    </w:p>
    <w:p>
      <w:pPr>
        <w:pStyle w:val="Normal"/>
        <w:widowControl/>
        <w:numPr>
          <w:ilvl w:val="0"/>
          <w:numId w:val="49"/>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evaluarea riscurilor care nu pot fi evitate;</w:t>
      </w:r>
    </w:p>
    <w:p>
      <w:pPr>
        <w:pStyle w:val="Normal"/>
        <w:widowControl/>
        <w:numPr>
          <w:ilvl w:val="0"/>
          <w:numId w:val="49"/>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combaterea riscurilor la sursă;</w:t>
      </w:r>
    </w:p>
    <w:p>
      <w:pPr>
        <w:pStyle w:val="Normal"/>
        <w:widowControl/>
        <w:numPr>
          <w:ilvl w:val="0"/>
          <w:numId w:val="49"/>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adaptarea muncii la om, în special în ceea ce privește proiectarea posturilor de muncă, alegerea echipamentelor de muncă, a metodelor de muncă și de producție, în vederea reducerii monotoniei muncii, a muncii cu ritm predeterminat și a diminuării efectelor acestora asupra sănătății;</w:t>
      </w:r>
    </w:p>
    <w:p>
      <w:pPr>
        <w:pStyle w:val="Normal"/>
        <w:widowControl/>
        <w:numPr>
          <w:ilvl w:val="0"/>
          <w:numId w:val="49"/>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adaptarea la progresul tehnic;</w:t>
      </w:r>
    </w:p>
    <w:p>
      <w:pPr>
        <w:pStyle w:val="Normal"/>
        <w:widowControl/>
        <w:numPr>
          <w:ilvl w:val="0"/>
          <w:numId w:val="49"/>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înlocuirea a ceea ce este periculos cu ceea ce nu este periculos sau cu ceea ce este mai puțin periculos;</w:t>
      </w:r>
    </w:p>
    <w:p>
      <w:pPr>
        <w:pStyle w:val="Normal"/>
        <w:widowControl/>
        <w:numPr>
          <w:ilvl w:val="0"/>
          <w:numId w:val="49"/>
        </w:numPr>
        <w:spacing w:before="0" w:after="40"/>
        <w:ind w:right="0"/>
        <w:jc w:val="left"/>
        <w:rPr>
          <w:rFonts w:ascii="Arial" w:hAnsi="Arial" w:cs="Arial"/>
          <w:sz w:val="20"/>
          <w:szCs w:val="20"/>
          <w:lang w:val="it-IT"/>
        </w:rPr>
      </w:pPr>
      <w:r>
        <w:rPr>
          <w:rFonts w:eastAsia="Arial" w:cs="Arial" w:ascii="Arial" w:hAnsi="Arial"/>
          <w:color w:val="auto"/>
          <w:spacing w:val="0"/>
          <w:w w:val="100"/>
          <w:sz w:val="20"/>
          <w:szCs w:val="20"/>
          <w:lang w:val="ro-RO"/>
        </w:rPr>
        <w:t>dezvoltarea unei politici de prevenire coerente care să cuprindă tehnologiile, organizarea muncii, condițiile de muncă, relațiile sociale și influența factorilor din mediul de muncă;</w:t>
      </w:r>
    </w:p>
    <w:p>
      <w:pPr>
        <w:pStyle w:val="Normal"/>
        <w:widowControl/>
        <w:numPr>
          <w:ilvl w:val="0"/>
          <w:numId w:val="49"/>
        </w:numPr>
        <w:spacing w:before="0" w:after="40"/>
        <w:ind w:right="0"/>
        <w:jc w:val="left"/>
        <w:rPr>
          <w:rFonts w:ascii="Arial" w:hAnsi="Arial" w:cs="Arial"/>
          <w:sz w:val="20"/>
          <w:szCs w:val="20"/>
          <w:lang w:val="it-IT"/>
        </w:rPr>
      </w:pPr>
      <w:r>
        <w:rPr>
          <w:rFonts w:eastAsia="Arial" w:cs="Arial" w:ascii="Arial" w:hAnsi="Arial"/>
          <w:color w:val="auto"/>
          <w:spacing w:val="0"/>
          <w:w w:val="100"/>
          <w:sz w:val="20"/>
          <w:szCs w:val="20"/>
          <w:lang w:val="ro-RO"/>
        </w:rPr>
        <w:t>adoptarea, în mod prioritar, a măsurilor de protecție colectivă față de măsurile de protecție individuală;</w:t>
      </w:r>
    </w:p>
    <w:p>
      <w:pPr>
        <w:pStyle w:val="Normal"/>
        <w:widowControl/>
        <w:numPr>
          <w:ilvl w:val="0"/>
          <w:numId w:val="49"/>
        </w:numPr>
        <w:spacing w:before="0" w:after="120"/>
        <w:ind w:right="0"/>
        <w:jc w:val="left"/>
        <w:rPr>
          <w:rFonts w:ascii="Arial" w:hAnsi="Arial" w:cs="Arial"/>
          <w:sz w:val="20"/>
          <w:szCs w:val="20"/>
          <w:lang w:val="it-IT"/>
        </w:rPr>
      </w:pPr>
      <w:r>
        <w:rPr>
          <w:rFonts w:eastAsia="Arial" w:cs="Arial" w:ascii="Arial" w:hAnsi="Arial"/>
          <w:color w:val="auto"/>
          <w:spacing w:val="0"/>
          <w:w w:val="100"/>
          <w:sz w:val="20"/>
          <w:szCs w:val="20"/>
          <w:lang w:val="ro-RO"/>
        </w:rPr>
        <w:t>furnizarea de instrucțiuni corespunzătoare lucrătorilor.</w:t>
      </w:r>
    </w:p>
    <w:p>
      <w:pPr>
        <w:pStyle w:val="Normal"/>
        <w:keepNext/>
        <w:widowControl/>
        <w:spacing w:before="0" w:after="60"/>
        <w:ind w:hanging="0"/>
        <w:jc w:val="left"/>
        <w:rPr>
          <w:rFonts w:ascii="Arial" w:hAnsi="Arial" w:cs="Arial"/>
          <w:sz w:val="18"/>
          <w:szCs w:val="18"/>
          <w:lang w:val="it-IT"/>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Fără a aduce atingere altor prevederi ale prezentei legi, ținând seama de natura activităților din întreprindere și/ sau unitate, angajatorul are obligația:</w:t>
      </w:r>
    </w:p>
    <w:p>
      <w:pPr>
        <w:pStyle w:val="Normal"/>
        <w:widowControl/>
        <w:numPr>
          <w:ilvl w:val="0"/>
          <w:numId w:val="6"/>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să evalueze riscurile pentru securitatea și sănătatea lucrătorilor, inclusiv la alegerea echipamentelor de muncă, a substanțelor sau preparatelor chimice utilizate și la amenajarea locurilor de muncă;</w:t>
      </w:r>
    </w:p>
    <w:p>
      <w:pPr>
        <w:pStyle w:val="Normal"/>
        <w:widowControl/>
        <w:numPr>
          <w:ilvl w:val="0"/>
          <w:numId w:val="6"/>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ca, ulterior evaluării prevăzute la lit. a) și dacă este necesar, măsurile de prevenire, precum și metodele de lucru și de producție aplicate de către angajator să asigure îmbunătățirea nivelului securității și al protecției sănătății lucrătorilor și să fie integrate în ansamblul activităților întreprinderii și/ sau unității respective și la toate nivelurile ierarhice;</w:t>
      </w:r>
    </w:p>
    <w:p>
      <w:pPr>
        <w:pStyle w:val="Normal"/>
        <w:widowControl/>
        <w:numPr>
          <w:ilvl w:val="0"/>
          <w:numId w:val="6"/>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să ia în considerare capacitățile lucrătorului în ceea ce privește securitatea și sănătatea în muncă, atunci când îi încredințează sarcini;</w:t>
      </w:r>
    </w:p>
    <w:p>
      <w:pPr>
        <w:pStyle w:val="Normal"/>
        <w:widowControl/>
        <w:numPr>
          <w:ilvl w:val="0"/>
          <w:numId w:val="6"/>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să asigure ca planificarea și introducerea de noi tehnologii să facă obiectul consultărilor cu lucrătorii și/ sau reprezentanții acestora în ceea ce privește consecințele asupra securității și sănătății lucrătorilor, determinate de alegerea echipamentelor, de condițiile și mediul de muncă;</w:t>
      </w:r>
    </w:p>
    <w:p>
      <w:pPr>
        <w:pStyle w:val="Normal"/>
        <w:widowControl/>
        <w:numPr>
          <w:ilvl w:val="0"/>
          <w:numId w:val="6"/>
        </w:numPr>
        <w:spacing w:before="0" w:after="12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să ia măsurile corespunzătoare pentru ca, în zonele cu risc ridicat și specific, accesul să fie permis numai lucrătorilor care au primit și și-au însușit instrucțiunile adecvate.</w:t>
      </w:r>
    </w:p>
    <w:p>
      <w:pPr>
        <w:pStyle w:val="Normal"/>
        <w:keepNext/>
        <w:widowControl/>
        <w:spacing w:before="0" w:after="6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Fără a aduce atingere altor prevederi ale prezentei legi, atunci când în același loc de muncă își desfășoară activitatea lucrători din mai multe întreprinderi și/ sau unități, angajatorii acestora au următoarele obligații:</w:t>
      </w:r>
    </w:p>
    <w:p>
      <w:pPr>
        <w:pStyle w:val="Normal"/>
        <w:widowControl/>
        <w:numPr>
          <w:ilvl w:val="0"/>
          <w:numId w:val="14"/>
        </w:numPr>
        <w:spacing w:before="0" w:after="40"/>
        <w:ind w:right="0"/>
        <w:jc w:val="left"/>
        <w:rPr>
          <w:rFonts w:ascii="Arial" w:hAnsi="Arial" w:cs="Arial"/>
          <w:sz w:val="20"/>
          <w:szCs w:val="20"/>
          <w:lang w:val="es-ES_tradnl"/>
        </w:rPr>
      </w:pPr>
      <w:r>
        <w:rPr>
          <w:rFonts w:eastAsia="Arial" w:cs="Arial" w:ascii="Arial" w:hAnsi="Arial"/>
          <w:color w:val="auto"/>
          <w:spacing w:val="0"/>
          <w:w w:val="100"/>
          <w:sz w:val="20"/>
          <w:szCs w:val="20"/>
          <w:lang w:val="ro-RO"/>
        </w:rPr>
        <w:t>să coopereze în vederea implementării prevederilor privind securitatea, sănătatea și igiena în muncă, luând în considerare natura activităților;</w:t>
      </w:r>
    </w:p>
    <w:p>
      <w:pPr>
        <w:pStyle w:val="Normal"/>
        <w:widowControl/>
        <w:numPr>
          <w:ilvl w:val="0"/>
          <w:numId w:val="14"/>
        </w:numPr>
        <w:spacing w:before="0" w:after="40"/>
        <w:ind w:right="0"/>
        <w:jc w:val="left"/>
        <w:rPr>
          <w:rFonts w:ascii="Arial" w:hAnsi="Arial" w:cs="Arial"/>
          <w:sz w:val="20"/>
          <w:szCs w:val="20"/>
          <w:lang w:val="it-IT"/>
        </w:rPr>
      </w:pPr>
      <w:r>
        <w:rPr>
          <w:rFonts w:eastAsia="Arial" w:cs="Arial" w:ascii="Arial" w:hAnsi="Arial"/>
          <w:color w:val="auto"/>
          <w:spacing w:val="0"/>
          <w:w w:val="100"/>
          <w:sz w:val="20"/>
          <w:szCs w:val="20"/>
          <w:lang w:val="ro-RO"/>
        </w:rPr>
        <w:t>să își coordoneze acțiunile în vederea protecției lucrătorilor și prevenirii riscurilor profesionale, luând în considerare natura activităților;</w:t>
      </w:r>
    </w:p>
    <w:p>
      <w:pPr>
        <w:pStyle w:val="Normal"/>
        <w:widowControl/>
        <w:numPr>
          <w:ilvl w:val="0"/>
          <w:numId w:val="14"/>
        </w:numPr>
        <w:spacing w:before="0" w:after="40"/>
        <w:ind w:right="0"/>
        <w:jc w:val="left"/>
        <w:rPr>
          <w:rFonts w:ascii="Arial" w:hAnsi="Arial" w:cs="Arial"/>
          <w:sz w:val="20"/>
          <w:szCs w:val="20"/>
          <w:lang w:val="it-IT"/>
        </w:rPr>
      </w:pPr>
      <w:r>
        <w:rPr>
          <w:rFonts w:eastAsia="Arial" w:cs="Arial" w:ascii="Arial" w:hAnsi="Arial"/>
          <w:color w:val="auto"/>
          <w:spacing w:val="0"/>
          <w:w w:val="100"/>
          <w:sz w:val="20"/>
          <w:szCs w:val="20"/>
          <w:lang w:val="ro-RO"/>
        </w:rPr>
        <w:t>să se informeze reciproc despre riscurile profesionale;</w:t>
      </w:r>
    </w:p>
    <w:p>
      <w:pPr>
        <w:pStyle w:val="Normal"/>
        <w:widowControl/>
        <w:numPr>
          <w:ilvl w:val="0"/>
          <w:numId w:val="14"/>
        </w:numPr>
        <w:spacing w:before="0" w:after="120"/>
        <w:ind w:right="0"/>
        <w:jc w:val="left"/>
        <w:rPr>
          <w:rFonts w:ascii="Arial" w:hAnsi="Arial" w:cs="Arial"/>
          <w:sz w:val="20"/>
          <w:szCs w:val="20"/>
          <w:lang w:val="it-IT"/>
        </w:rPr>
      </w:pPr>
      <w:r>
        <w:rPr>
          <w:rFonts w:eastAsia="Arial" w:cs="Arial" w:ascii="Arial" w:hAnsi="Arial"/>
          <w:color w:val="auto"/>
          <w:spacing w:val="0"/>
          <w:w w:val="100"/>
          <w:sz w:val="20"/>
          <w:szCs w:val="20"/>
          <w:lang w:val="ro-RO"/>
        </w:rPr>
        <w:t>să informeze lucrătorii și/ sau reprezentanții acestora despre riscurile profesionale.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(6)</w:t>
      </w:r>
      <w:r>
        <w:rPr>
          <w:rFonts w:eastAsia="Arial" w:cs="Arial" w:ascii="Arial" w:hAnsi="Arial"/>
          <w:color w:val="auto"/>
          <w:spacing w:val="0"/>
          <w:w w:val="100"/>
          <w:sz w:val="20"/>
          <w:szCs w:val="20"/>
          <w:lang w:val="ro-RO"/>
        </w:rPr>
        <w:t xml:space="preserve"> Măsurile privind securitatea, sănătatea și igiena în muncă nu trebuie să comporte în nicio situație obligații financiare pentru lucrători.</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11) </w:t>
      </w: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Angajatorul are următoarele obligații:</w:t>
      </w:r>
    </w:p>
    <w:p>
      <w:pPr>
        <w:pStyle w:val="Normal"/>
        <w:widowControl/>
        <w:numPr>
          <w:ilvl w:val="0"/>
          <w:numId w:val="11"/>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informeze, cât mai curând posibil, toți lucrătorii care sunt sau pot fi expuși unui pericol grav și iminent despre riscurile implicate de acest pericol, precum și despre măsurile luate ori care trebuie să fie luate pentru protecția lor;</w:t>
      </w:r>
    </w:p>
    <w:p>
      <w:pPr>
        <w:pStyle w:val="Normal"/>
        <w:widowControl/>
        <w:numPr>
          <w:ilvl w:val="0"/>
          <w:numId w:val="11"/>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să ia măsuri și să furnizeze instrucțiuni pentru a da lucrătorilor posibilitatea să oprească lucrul și/ sau să părăsească imediat locul de muncă și să se îndrepte spre o zonă sigură, în caz de pericol grav și iminent;</w:t>
      </w:r>
    </w:p>
    <w:p>
      <w:pPr>
        <w:pStyle w:val="Normal"/>
        <w:widowControl/>
        <w:numPr>
          <w:ilvl w:val="0"/>
          <w:numId w:val="11"/>
        </w:numPr>
        <w:spacing w:before="0" w:after="120"/>
        <w:ind w:right="0"/>
        <w:jc w:val="left"/>
        <w:rPr>
          <w:rFonts w:ascii="Arial" w:hAnsi="Arial" w:cs="Arial"/>
          <w:sz w:val="18"/>
          <w:szCs w:val="18"/>
          <w:lang w:val="de-DE"/>
        </w:rPr>
      </w:pPr>
      <w:r>
        <w:rPr>
          <w:rFonts w:eastAsia="Arial" w:cs="Arial" w:ascii="Arial" w:hAnsi="Arial"/>
          <w:color w:val="auto"/>
          <w:spacing w:val="0"/>
          <w:w w:val="100"/>
          <w:sz w:val="20"/>
          <w:szCs w:val="20"/>
          <w:lang w:val="ro-RO"/>
        </w:rPr>
        <w:t>să nu impună lucrătorilor reluarea lucrului în situația în care încă există un pericol grav și iminent, în afara cazurilor excepționale și pentru motive justificate.</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Lucrătorii care, în cazul unui pericol grav și iminent, părăsesc locul de muncă și/ sau o zonă periculoasă nu trebuie să fie prejudiciați și trebuie să fie protejați împotriva oricăror consecințe negative și nejustificate pentru aceștia.</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Angajatorul trebuie să se asigure că, în cazul unui pericol grav și iminent pentru propria securitate sau a altor persoane, atunci când șeful ierarhic imediat superior nu poate fi contactat, toți lucrătorii sunt apți să aplice măsurile corespunzătoare, în conformitate cu cunoștințele lor și cu mijloacele tehnice de care dispun, pentru a evita consecințele unui astfel de pericol.</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Lucrătorii nu trebuie să fie prejudiciați pentru cazurile prevăzute la alin. (3) de mai sus, cu excepția situațiilor în care aceștia acționează imprudent sau dau dovadă de neglijență gravă.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12)</w:t>
      </w:r>
      <w:r>
        <w:rPr>
          <w:rFonts w:eastAsia="Arial" w:cs="Arial" w:ascii="Arial" w:hAnsi="Arial"/>
          <w:color w:val="auto"/>
          <w:spacing w:val="0"/>
          <w:w w:val="100"/>
          <w:sz w:val="20"/>
          <w:szCs w:val="20"/>
          <w:lang w:val="ro-RO"/>
        </w:rPr>
        <w:t xml:space="preserve"> Alte obligații ale angajatorului:</w:t>
      </w:r>
    </w:p>
    <w:p>
      <w:pPr>
        <w:pStyle w:val="Normal"/>
        <w:widowControl/>
        <w:numPr>
          <w:ilvl w:val="0"/>
          <w:numId w:val="2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să realizeze și să fie în posesia unei evaluări a riscurilor pentru securitatea și sănătatea în muncă, inclusiv pentru acele grupuri sensibile la riscuri specifice;</w:t>
      </w:r>
    </w:p>
    <w:p>
      <w:pPr>
        <w:pStyle w:val="Normal"/>
        <w:widowControl/>
        <w:numPr>
          <w:ilvl w:val="0"/>
          <w:numId w:val="2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să decidă asupra măsurilor de protecție care trebuie luate și, după caz, asupra echipamentului de protecție care trebuie utilizat;</w:t>
      </w:r>
    </w:p>
    <w:p>
      <w:pPr>
        <w:pStyle w:val="Normal"/>
        <w:widowControl/>
        <w:numPr>
          <w:ilvl w:val="0"/>
          <w:numId w:val="2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țină evidența accidentelor de muncă ce au ca urmare o incapacitate de muncă mai mare de 3 zile de lucru, a accidentelor ușoare, a bolilor profesionale, a incidentelor periculoase, precum și a accidentelor de muncă, astfel cum sunt definite la art. 5 lit. g) din Legea 319/2006</w:t>
      </w:r>
      <w:r>
        <w:rPr>
          <w:rFonts w:eastAsia="Arial" w:cs="Arial" w:ascii="Arial" w:hAnsi="Arial"/>
          <w:color w:val="auto"/>
          <w:spacing w:val="0"/>
          <w:w w:val="100"/>
          <w:sz w:val="20"/>
          <w:szCs w:val="20"/>
          <w:lang w:val="ro-RO"/>
        </w:rPr>
        <w:t xml:space="preserve">;</w:t>
      </w:r>
    </w:p>
    <w:p>
      <w:pPr>
        <w:pStyle w:val="Normal"/>
        <w:widowControl/>
        <w:numPr>
          <w:ilvl w:val="0"/>
          <w:numId w:val="26"/>
        </w:numPr>
        <w:spacing w:before="0" w:after="120"/>
        <w:ind w:right="0"/>
        <w:jc w:val="left"/>
        <w:rPr>
          <w:rFonts w:ascii="Arial" w:hAnsi="Arial" w:cs="Arial"/>
          <w:sz w:val="18"/>
          <w:szCs w:val="18"/>
          <w:lang w:val="it-IT"/>
        </w:rPr>
      </w:pPr>
      <w:r>
        <w:rPr>
          <w:rFonts w:eastAsia="Arial" w:cs="Arial" w:ascii="Arial" w:hAnsi="Arial"/>
          <w:color w:val="auto"/>
          <w:spacing w:val="0"/>
          <w:w w:val="100"/>
          <w:sz w:val="20"/>
          <w:szCs w:val="20"/>
          <w:lang w:val="ro-RO"/>
        </w:rPr>
        <w:t>să elaboreze pentru autoritățile competente și în conformitate cu reglementările legale rapoarte privind accidentele de muncă suferite de lucrătorii săi.</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13)</w:t>
      </w:r>
      <w:r>
        <w:rPr>
          <w:rFonts w:eastAsia="Arial" w:cs="Arial" w:ascii="Arial" w:hAnsi="Arial"/>
          <w:color w:val="auto"/>
          <w:spacing w:val="0"/>
          <w:w w:val="100"/>
          <w:sz w:val="20"/>
          <w:szCs w:val="20"/>
          <w:lang w:val="ro-RO"/>
        </w:rPr>
        <w:t xml:space="preserve"> În vederea asigurării condițiilor de securitate și sănătate în muncă și pentru prevenirea accidentelor de muncă și a bolilor profesionale, angajatorii au următoarele obligații:</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adopte, din faza de cercetare, proiectare și execuție a construcțiilor, a echipamentelor de muncă, precum și de elaborare a tehnologiilor de fabricație, soluții conforme prevederilor legale în vigoare privind securitatea și sănătatea în muncă, prin a căror aplicare să fie eliminate sau diminuate riscurile de accidentare și de îmbolnăvire profesională a lucrătorilor;</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întocmească un plan de prevenire și protecție compus din măsuri tehnice, sanitare, organizatorice și de altă natură, bazat pe evaluarea riscurilor, pe care să îl aplice corespunzător condițiilor de muncă specifice unității;</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obțină autorizația de funcționare din punctul de vedere al securității și sănătății în muncă, înainte de începerea oricărei activități, conform prevederilor legale;</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stabilească pentru lucrători, prin fișa postului, atribuțiile și răspunderile ce le revin în domeniul securității și sănătății în muncă, corespunzător funcțiilor exercitate;</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elaboreze instrucțiuni proprii, în spiritul prezentei legi, pentru completarea și/ sau aplicarea reglementărilor de securitate și sănătate în muncă, ținând seama de particularitățile activităților și ale locurilor de muncă aflate în responsabilitatea lor;</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asigure și să controleze cunoașterea și aplicarea de către toți lucrătorii a măsurilor prevăzute în planul de prevenire și de protecție stabilit, precum și a prevederilor legale în domeniul securității și sănătății în muncă, prin lucrătorii desemnați, prin propria competență sau prin servicii externe;</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ia măsuri pentru asigurarea de materiale necesare informării și instruirii lucrătorilor, cum ar fi afișe, pliante, filme și diafilme cu privire la securitatea și sănătatea în muncă;</w:t>
      </w:r>
    </w:p>
    <w:p>
      <w:pPr>
        <w:pStyle w:val="Normal"/>
        <w:widowControl/>
        <w:numPr>
          <w:ilvl w:val="0"/>
          <w:numId w:val="8"/>
        </w:numPr>
        <w:spacing w:before="0" w:after="40"/>
        <w:ind w:right="0"/>
        <w:jc w:val="left"/>
        <w:rPr>
          <w:rFonts w:ascii="Arial" w:hAnsi="Arial" w:cs="Arial"/>
          <w:sz w:val="18"/>
          <w:szCs w:val="18"/>
          <w:lang w:val="de-DE"/>
        </w:rPr>
      </w:pPr>
      <w:r>
        <w:rPr>
          <w:rFonts w:eastAsia="Arial" w:cs="Arial" w:ascii="Arial" w:hAnsi="Arial"/>
          <w:color w:val="auto"/>
          <w:spacing w:val="0"/>
          <w:w w:val="100"/>
          <w:sz w:val="20"/>
          <w:szCs w:val="20"/>
          <w:lang w:val="ro-RO"/>
        </w:rPr>
        <w:t>să asigure informarea fiecărei persoane, anterior angajării în muncă, asupra riscurilor la care aceasta este expusă la locul de muncă, precum și asupra măsurilor de prevenire și de protecție necesare;</w:t>
      </w:r>
    </w:p>
    <w:p>
      <w:pPr>
        <w:pStyle w:val="Normal"/>
        <w:widowControl/>
        <w:numPr>
          <w:ilvl w:val="0"/>
          <w:numId w:val="8"/>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să ia măsuri pentru autorizarea exercitării meseriilor și a profesiilor prevăzute de legislația specifică;</w:t>
      </w:r>
    </w:p>
    <w:p>
      <w:pPr>
        <w:pStyle w:val="Normal"/>
        <w:widowControl/>
        <w:numPr>
          <w:ilvl w:val="0"/>
          <w:numId w:val="8"/>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să angajeze numai persoane care, în urma examenului medical și, după caz, a testării psihologice a aptitudinilor, corespund sarcinii de muncă pe care urmează să o execute și să asigure controlul medical periodic și, după caz, controlul psihologic periodic, ulterior angajării;</w:t>
      </w:r>
    </w:p>
    <w:p>
      <w:pPr>
        <w:pStyle w:val="Normal"/>
        <w:widowControl/>
        <w:numPr>
          <w:ilvl w:val="0"/>
          <w:numId w:val="8"/>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țină evidența zonelor cu risc ridicat și specific prevăzute la art. 7 alin. (4), lit. e) din Legea 319/2006;</w:t>
      </w:r>
    </w:p>
    <w:p>
      <w:pPr>
        <w:pStyle w:val="Normal"/>
        <w:widowControl/>
        <w:numPr>
          <w:ilvl w:val="0"/>
          <w:numId w:val="8"/>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asigure funcționarea permanentă și corectă a sistemelor și dispozitivelor de protecție, a aparaturii de măsură și control, precum și a instalațiilor de captare, reținere și neutralizare a substanțelor nocive degajate în desfășurarea proceselor tehnologice;</w:t>
      </w:r>
    </w:p>
    <w:p>
      <w:pPr>
        <w:pStyle w:val="Normal"/>
        <w:widowControl/>
        <w:numPr>
          <w:ilvl w:val="0"/>
          <w:numId w:val="8"/>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să prezinte documentele și să dea relațiile solicitate de inspectorii de muncă în timpul controlului sau al efectuării cercetării evenimentelor;</w:t>
      </w:r>
    </w:p>
    <w:p>
      <w:pPr>
        <w:pStyle w:val="Normal"/>
        <w:widowControl/>
        <w:numPr>
          <w:ilvl w:val="0"/>
          <w:numId w:val="8"/>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realizarea măsurilor dispuse de inspectorii de muncă cu prilejul vizitelor de control și al cercetării evenimentelor;</w:t>
      </w:r>
    </w:p>
    <w:p>
      <w:pPr>
        <w:pStyle w:val="Normal"/>
        <w:widowControl/>
        <w:numPr>
          <w:ilvl w:val="0"/>
          <w:numId w:val="8"/>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să desemneze, la solicitarea inspectorului de muncă, lucrătorii care să participe la efectuarea controlului sau la cercetarea evenimentelor;</w:t>
      </w:r>
    </w:p>
    <w:p>
      <w:pPr>
        <w:pStyle w:val="Normal"/>
        <w:widowControl/>
        <w:numPr>
          <w:ilvl w:val="0"/>
          <w:numId w:val="8"/>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să nu modifice starea de fapt rezultată din producerea unui accident mortal sau colectiv, în afară de cazurile în care menținerea acestei stări ar genera alte accidente ori ar periclita viața accidentaților și a altor persoane;</w:t>
      </w:r>
    </w:p>
    <w:p>
      <w:pPr>
        <w:pStyle w:val="Normal"/>
        <w:widowControl/>
        <w:numPr>
          <w:ilvl w:val="0"/>
          <w:numId w:val="8"/>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echipamente de muncă fără pericol pentru securitatea și sănătatea lucrătorilor;</w:t>
      </w:r>
    </w:p>
    <w:p>
      <w:pPr>
        <w:pStyle w:val="Normal"/>
        <w:widowControl/>
        <w:numPr>
          <w:ilvl w:val="0"/>
          <w:numId w:val="8"/>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echipamente individuale de protecție;</w:t>
      </w:r>
    </w:p>
    <w:p>
      <w:pPr>
        <w:pStyle w:val="Normal"/>
        <w:widowControl/>
        <w:numPr>
          <w:ilvl w:val="0"/>
          <w:numId w:val="8"/>
        </w:numPr>
        <w:spacing w:before="0" w:after="12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să acorde obligatoriu echipament individual de protecție nou, în cazul degradării sau al pierderii calităților de protecție.</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14)</w:t>
      </w:r>
      <w:r>
        <w:rPr>
          <w:rFonts w:eastAsia="Arial" w:cs="Arial" w:ascii="Arial" w:hAnsi="Arial"/>
          <w:color w:val="auto"/>
          <w:spacing w:val="0"/>
          <w:w w:val="100"/>
          <w:sz w:val="20"/>
          <w:szCs w:val="20"/>
          <w:lang w:val="ro-RO"/>
        </w:rPr>
        <w:t xml:space="preserve"> Alimentația de protecție se acordă în mod obligatoriu și gratuit de către angajatori persoanelor care lucrează în condiții de muncă ce impun acest lucru și se stabilește prin contractul colectiv de muncă și/ sau contractul individual de muncă.</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15)</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Materialele igienico-sanitare se acordă în mod obligatoriu și gratuit de către angajatori.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Categoriile de materiale igienico-sanitare, precum și locurile de muncă ce impun acordarea acestora se stabilesc prin contractul colectiv de muncă și/ sau contractul individual de muncă.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15)</w:t>
      </w:r>
      <w:r>
        <w:rPr>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Activitățile de prevenire și protecție în cadrul întreprinderii și/ sau al unității sunt următoarele:</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color w:val="auto"/>
          <w:spacing w:val="0"/>
          <w:w w:val="100"/>
          <w:sz w:val="20"/>
          <w:szCs w:val="20"/>
          <w:lang w:val="ro-RO"/>
        </w:rPr>
        <w:t>identificarea pericolelor și evaluarea riscurilor pentru fiecare componentă a sistemului de muncă, respectiv executant, sarcină de muncă, mijloace de muncă/ echipamente de muncă și mediul de muncă pe locuri de muncă/ posturi de lucru;</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bCs/>
          <w:color w:val="auto"/>
          <w:spacing w:val="0"/>
          <w:w w:val="100"/>
          <w:sz w:val="20"/>
          <w:szCs w:val="20"/>
          <w:lang w:val="ro-RO"/>
        </w:rPr>
        <w:t>elaborarea, îndeplinirea, monitorizarea și actualizarea planului de prevenire și protecție</w:t>
      </w:r>
      <w:r>
        <w:rPr>
          <w:rStyle w:val="tpt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bCs/>
          <w:color w:val="auto"/>
          <w:spacing w:val="0"/>
          <w:w w:val="100"/>
          <w:sz w:val="20"/>
          <w:szCs w:val="20"/>
          <w:lang w:val="ro-RO"/>
        </w:rPr>
        <w:t xml:space="preserve">elaborarea de instrucțiuni proprii pentru completarea și/ sau aplicarea reglementărilor de securitate și sănătate în muncă, ținând seama de particularitățile activităților și ale unității/ întreprinderii, precum și ale locurilor de muncă/ posturilor de lucru, și difuzarea acestora în întreprindere și/ sau unitate numai după ce au fost aprobate de către angajator</w:t>
      </w:r>
      <w:r>
        <w:rPr>
          <w:rStyle w:val="tpt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color w:val="auto"/>
          <w:spacing w:val="0"/>
          <w:w w:val="100"/>
          <w:sz w:val="20"/>
          <w:szCs w:val="20"/>
          <w:lang w:val="ro-RO"/>
        </w:rPr>
        <w:t>propunerea atribuțiilor și răspunderilor în domeniul securității și sănătății în muncă, ce revin lucrătorilor, corespunzător funcțiilor exercitate, care se consemnează în fișa postului, cu aprobarea angajatorului;</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bCs/>
          <w:color w:val="auto"/>
          <w:spacing w:val="0"/>
          <w:w w:val="100"/>
          <w:sz w:val="20"/>
          <w:szCs w:val="20"/>
          <w:lang w:val="ro-RO"/>
        </w:rPr>
        <w:t>verificarea însușirii și aplicării de către toți lucrătorii a măsurilor prevăzute în planul de prevenire și protecție, a instrucțiunilor proprii, precum și a atribuțiilor și responsabilităților ce le revin în domeniul securității și sănătății în muncă stabilite prin fișa postului</w:t>
      </w:r>
      <w:r>
        <w:rPr>
          <w:rStyle w:val="tpt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color w:val="auto"/>
          <w:spacing w:val="0"/>
          <w:w w:val="100"/>
          <w:sz w:val="20"/>
          <w:szCs w:val="20"/>
          <w:lang w:val="ro-RO"/>
        </w:rPr>
        <w:t>întocmirea unui necesar de documentații cu caracter tehnic de informare și instruire a lucrătorilor în domeniul securității și sănătății în muncă;</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bCs/>
          <w:color w:val="auto"/>
          <w:spacing w:val="0"/>
          <w:w w:val="100"/>
          <w:sz w:val="20"/>
          <w:szCs w:val="20"/>
          <w:lang w:val="ro-RO"/>
        </w:rPr>
        <w:t>elaborarea tematicii pentru toate fazele de instruire, stabilirea, în scris, a periodicității instruirii adecvate pentru fiecare loc de muncă în instrucțiunile proprii, asigurarea informării și instruirii lucrătorilor în domeniul securității și sănătății în muncă și verificarea însușirii și aplicării de către lucrători a informațiilor primite</w:t>
      </w:r>
      <w:r>
        <w:rPr>
          <w:rStyle w:val="tpt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color w:val="auto"/>
          <w:spacing w:val="0"/>
          <w:w w:val="100"/>
          <w:sz w:val="20"/>
          <w:szCs w:val="20"/>
          <w:lang w:val="ro-RO"/>
        </w:rPr>
        <w:t>elaborarea programului de instruire-testare la nivelul unității;</w:t>
      </w:r>
    </w:p>
    <w:p>
      <w:pPr>
        <w:pStyle w:val="Normal"/>
        <w:widowControl/>
        <w:numPr>
          <w:ilvl w:val="3"/>
          <w:numId w:val="21"/>
        </w:numPr>
        <w:spacing w:before="0" w:after="40"/>
        <w:jc w:val="left"/>
        <w:rPr>
          <w:rFonts w:ascii="Arial" w:hAnsi="Arial" w:cs="Arial"/>
          <w:sz w:val="18"/>
          <w:szCs w:val="18"/>
          <w:lang w:val="ro-RO"/>
        </w:rPr>
      </w:pPr>
      <w:r>
        <w:rPr>
          <w:rStyle w:val="tpt1"/>
          <w:rFonts w:eastAsia="Arial" w:cs="Arial" w:ascii="Arial" w:hAnsi="Arial"/>
          <w:color w:val="auto"/>
          <w:spacing w:val="0"/>
          <w:w w:val="100"/>
          <w:sz w:val="20"/>
          <w:szCs w:val="20"/>
          <w:lang w:val="ro-RO"/>
        </w:rPr>
        <w:t xml:space="preserve">asigurarea întocmirii planului de acțiune în caz de pericol grav și iminent și asigurarea ca toți lucrătorii să fie instruiți pentru aplicarea lui;</w:t>
      </w:r>
    </w:p>
    <w:p>
      <w:pPr>
        <w:pStyle w:val="Normal"/>
        <w:widowControl/>
        <w:numPr>
          <w:ilvl w:val="3"/>
          <w:numId w:val="21"/>
        </w:numPr>
        <w:spacing w:before="0" w:after="40"/>
        <w:jc w:val="left"/>
        <w:rPr>
          <w:rFonts w:ascii="Arial" w:hAnsi="Arial" w:cs="Arial"/>
          <w:sz w:val="18"/>
          <w:szCs w:val="18"/>
          <w:lang w:val="it-CH"/>
        </w:rPr>
      </w:pPr>
      <w:r>
        <w:rPr>
          <w:rStyle w:val="tpt1"/>
          <w:rFonts w:eastAsia="Arial" w:cs="Arial" w:ascii="Arial" w:hAnsi="Arial"/>
          <w:color w:val="auto"/>
          <w:spacing w:val="0"/>
          <w:w w:val="100"/>
          <w:sz w:val="20"/>
          <w:szCs w:val="20"/>
          <w:lang w:val="ro-RO"/>
        </w:rPr>
        <w:t>evidența zonelor cu risc ridicat și specific;</w:t>
      </w:r>
    </w:p>
    <w:p>
      <w:pPr>
        <w:pStyle w:val="Normal"/>
        <w:widowControl/>
        <w:numPr>
          <w:ilvl w:val="3"/>
          <w:numId w:val="21"/>
        </w:numPr>
        <w:spacing w:before="0" w:after="40"/>
        <w:jc w:val="left"/>
        <w:rPr>
          <w:rFonts w:ascii="Arial" w:hAnsi="Arial" w:cs="Arial"/>
          <w:sz w:val="18"/>
          <w:szCs w:val="18"/>
          <w:lang w:val="fr-FR"/>
        </w:rPr>
      </w:pPr>
      <w:r>
        <w:rPr>
          <w:rStyle w:val="tpt1"/>
          <w:rFonts w:eastAsia="Arial" w:cs="Arial" w:ascii="Arial" w:hAnsi="Arial"/>
          <w:color w:val="auto"/>
          <w:spacing w:val="0"/>
          <w:w w:val="100"/>
          <w:sz w:val="20"/>
          <w:szCs w:val="20"/>
          <w:lang w:val="ro-RO"/>
        </w:rPr>
        <w:t xml:space="preserve">stabilirea zonelor care necesită semnalizare de securitate și sănătate în muncă, stabilirea tipului de semnalizare necesar și amplasarea conform prevederilor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971/2006</w:t>
      </w:r>
      <w:r>
        <w:rPr>
          <w:rStyle w:val="tpt1"/>
          <w:rFonts w:eastAsia="Arial" w:cs="Arial" w:ascii="Arial" w:hAnsi="Arial"/>
          <w:color w:val="auto"/>
          <w:spacing w:val="0"/>
          <w:w w:val="100"/>
          <w:sz w:val="20"/>
          <w:szCs w:val="20"/>
          <w:lang w:val="ro-RO"/>
        </w:rPr>
        <w:t xml:space="preserve"> privind cerințele minime pentru semnalizarea de securitate și/ sau sănătate la locul de muncă;</w:t>
      </w:r>
    </w:p>
    <w:p>
      <w:pPr>
        <w:pStyle w:val="Normal"/>
        <w:widowControl/>
        <w:numPr>
          <w:ilvl w:val="3"/>
          <w:numId w:val="21"/>
        </w:numPr>
        <w:spacing w:before="0" w:after="40"/>
        <w:jc w:val="left"/>
        <w:rPr>
          <w:rFonts w:ascii="Arial" w:hAnsi="Arial" w:cs="Arial"/>
          <w:b/>
          <w:sz w:val="18"/>
          <w:szCs w:val="18"/>
          <w:lang w:val="pt-PT"/>
        </w:rPr>
      </w:pPr>
      <w:r>
        <w:rPr>
          <w:rStyle w:val="tpt1"/>
          <w:rFonts w:eastAsia="Arial" w:cs="Arial" w:ascii="Arial" w:hAnsi="Arial"/>
          <w:color w:val="auto"/>
          <w:spacing w:val="0"/>
          <w:w w:val="100"/>
          <w:sz w:val="20"/>
          <w:szCs w:val="20"/>
          <w:lang w:val="ro-RO"/>
        </w:rPr>
        <w:t>evidența meseriilor și a profesiilor prevăzute de legislația specifică, pentru care este necesară autorizarea exercitării lor</w:t>
      </w:r>
      <w:r>
        <w:rPr>
          <w:rStyle w:val="tal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evidența posturilor de lucru care necesită examene medicale suplimentare</w:t>
      </w:r>
      <w:r>
        <w:rPr>
          <w:rStyle w:val="tal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evidența posturilor de lucru care, la recomandarea medicului de medicina muncii, necesită testarea aptitudinilor și/ sau control psihologic periodic;</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monitorizarea funcționării sistemelor și dispozitivelor de protecție, a aparaturii de măsură și control, precum și a instalațiilor de ventilare sau a altor instalații pentru controlul noxelor în mediul de muncă;</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verificarea stării de funcționare a sistemelor de alarmare, avertizare, semnalizare de urgență, precum și a sistemelor de siguranță;</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bCs/>
          <w:color w:val="auto"/>
          <w:spacing w:val="0"/>
          <w:w w:val="100"/>
          <w:sz w:val="20"/>
          <w:szCs w:val="20"/>
          <w:lang w:val="ro-RO"/>
        </w:rPr>
        <w:t>efectuarea controalelor interne la locurile de muncă, cu informarea, în scris, a angajatorului asupra deficiențelor constatate și asupra măsurilor propuse pentru remedierea acestora</w:t>
      </w:r>
      <w:r>
        <w:rPr>
          <w:rStyle w:val="tal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 xml:space="preserve">întocmirea rapoartelor și/ sau a listelor prevăzute de hotărârile Guvernului emise în temeiul art. 51 alin. (1) lit. b) din Legea 319/2006, inclusiv cele referitoare la azbest, vibrații, zgomot și șantiere temporare și mobile;</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 xml:space="preserve">evidența echipamentelor de muncă și urmărirea ca verificările periodice și, dacă este cazul, încercările periodice ale echipamentelor de muncă să fie efectuate de persoane competente, conform prevederilor din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1146/2006</w:t>
      </w:r>
      <w:r>
        <w:rPr>
          <w:rStyle w:val="tpt1"/>
          <w:rFonts w:eastAsia="Arial" w:cs="Arial" w:ascii="Arial" w:hAnsi="Arial"/>
          <w:color w:val="auto"/>
          <w:spacing w:val="0"/>
          <w:w w:val="100"/>
          <w:sz w:val="20"/>
          <w:szCs w:val="20"/>
          <w:lang w:val="ro-RO"/>
        </w:rPr>
        <w:t xml:space="preserve"> privind cerințele minime de securitate și sănătate pentru utilizarea în muncă de către lucrători a echipamentelor de muncă;</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 xml:space="preserve">identificarea echipamentelor individuale de protecție necesare pentru posturile de lucru din întreprindere și întocmirea necesarului de dotare a lucrătorilor cu echipament individual de protecție, conform prevederilor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1048/2006</w:t>
      </w:r>
      <w:r>
        <w:rPr>
          <w:rStyle w:val="tpt1"/>
          <w:rFonts w:eastAsia="Arial" w:cs="Arial" w:ascii="Arial" w:hAnsi="Arial"/>
          <w:color w:val="auto"/>
          <w:spacing w:val="0"/>
          <w:w w:val="100"/>
          <w:sz w:val="20"/>
          <w:szCs w:val="20"/>
          <w:lang w:val="ro-RO"/>
        </w:rPr>
        <w:t xml:space="preserve"> privind cerințele minime de securitate și sănătate pentru utilizarea de către lucrători a echipamentelor individuale de protecție la locul de muncă;</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 xml:space="preserve">urmărirea întreținerii, manipulării și depozitării adecvate a echipamentelor individuale de protecție și a înlocuirii lor la termenele stabilite, precum și în celelalte situații prevăzute de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1048/2006</w:t>
      </w:r>
      <w:r>
        <w:rPr>
          <w:rStyle w:val="tpt1"/>
          <w:rFonts w:eastAsia="Arial" w:cs="Arial" w:ascii="Arial" w:hAnsi="Arial"/>
          <w:color w:val="auto"/>
          <w:spacing w:val="0"/>
          <w:w w:val="100"/>
          <w:sz w:val="20"/>
          <w:szCs w:val="20"/>
          <w:lang w:val="ro-RO"/>
        </w:rPr>
        <w:t xml:space="preserve"> privind cerințele minime de securitate și sănătate pentru utilizarea de către lucrători a echipamentelor individuale de protecție la locul de muncă;</w:t>
      </w:r>
    </w:p>
    <w:p>
      <w:pPr>
        <w:pStyle w:val="Normal"/>
        <w:widowControl/>
        <w:numPr>
          <w:ilvl w:val="3"/>
          <w:numId w:val="21"/>
        </w:numPr>
        <w:spacing w:before="0" w:after="40"/>
        <w:jc w:val="left"/>
        <w:rPr>
          <w:rFonts w:ascii="Arial" w:hAnsi="Arial" w:cs="Arial"/>
          <w:sz w:val="18"/>
          <w:szCs w:val="18"/>
        </w:rPr>
      </w:pPr>
      <w:r>
        <w:rPr>
          <w:rStyle w:val="tpt1"/>
          <w:rFonts w:eastAsia="Arial" w:cs="Arial" w:ascii="Arial" w:hAnsi="Arial"/>
          <w:color w:val="auto"/>
          <w:spacing w:val="0"/>
          <w:w w:val="100"/>
          <w:sz w:val="20"/>
          <w:szCs w:val="20"/>
          <w:lang w:val="ro-RO"/>
        </w:rPr>
        <w:t>participarea la cercetarea evenimentelor;</w:t>
      </w:r>
    </w:p>
    <w:p>
      <w:pPr>
        <w:pStyle w:val="Normal"/>
        <w:widowControl/>
        <w:numPr>
          <w:ilvl w:val="3"/>
          <w:numId w:val="21"/>
        </w:numPr>
        <w:spacing w:before="0" w:after="40"/>
        <w:jc w:val="left"/>
        <w:rPr>
          <w:rFonts w:ascii="Arial" w:hAnsi="Arial" w:cs="Arial"/>
          <w:sz w:val="18"/>
          <w:szCs w:val="18"/>
        </w:rPr>
      </w:pPr>
      <w:r>
        <w:rPr>
          <w:rStyle w:val="tpt1"/>
          <w:rFonts w:eastAsia="Arial" w:cs="Arial" w:ascii="Arial" w:hAnsi="Arial"/>
          <w:color w:val="auto"/>
          <w:spacing w:val="0"/>
          <w:w w:val="100"/>
          <w:sz w:val="20"/>
          <w:szCs w:val="20"/>
          <w:lang w:val="ro-RO"/>
        </w:rPr>
        <w:t>întocmirea evidențelor;</w:t>
      </w:r>
    </w:p>
    <w:p>
      <w:pPr>
        <w:pStyle w:val="Normal"/>
        <w:widowControl/>
        <w:numPr>
          <w:ilvl w:val="3"/>
          <w:numId w:val="21"/>
        </w:numPr>
        <w:spacing w:before="0" w:after="40"/>
        <w:jc w:val="left"/>
        <w:rPr>
          <w:rFonts w:ascii="Arial" w:hAnsi="Arial" w:cs="Arial"/>
          <w:sz w:val="18"/>
          <w:szCs w:val="18"/>
          <w:lang w:val="it-IT"/>
        </w:rPr>
      </w:pPr>
      <w:r>
        <w:rPr>
          <w:rStyle w:val="tpt1"/>
          <w:rFonts w:eastAsia="Arial" w:cs="Arial" w:ascii="Arial" w:hAnsi="Arial"/>
          <w:color w:val="auto"/>
          <w:spacing w:val="0"/>
          <w:w w:val="100"/>
          <w:sz w:val="20"/>
          <w:szCs w:val="20"/>
          <w:lang w:val="ro-RO"/>
        </w:rPr>
        <w:t xml:space="preserve">elaborarea rapoartelor privind accidentele de muncă suferite de lucrătorii din unitate, în conformitate cu prevederile </w:t>
      </w:r>
      <w:r>
        <w:rPr>
          <w:rStyle w:val="tpt1"/>
          <w:rFonts w:eastAsia="Arial" w:cs="Arial" w:ascii="Arial" w:hAnsi="Arial"/>
          <w:i/>
          <w:color w:val="auto"/>
          <w:spacing w:val="0"/>
          <w:w w:val="100"/>
          <w:sz w:val="20"/>
          <w:szCs w:val="20"/>
          <w:lang w:val="ro-RO"/>
        </w:rPr>
        <w:t xml:space="preserve">art. 12 alin. (1) lit. d) din Legea 319/2006</w:t>
      </w:r>
      <w:r>
        <w:rPr>
          <w:rStyle w:val="tpt1"/>
          <w:rFonts w:eastAsia="Arial" w:cs="Arial" w:ascii="Arial" w:hAnsi="Arial"/>
          <w:color w:val="auto"/>
          <w:spacing w:val="0"/>
          <w:w w:val="100"/>
          <w:sz w:val="20"/>
          <w:szCs w:val="20"/>
          <w:lang w:val="ro-RO"/>
        </w:rPr>
        <w:t xml:space="preserve">;</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urmărirea realizării măsurilor dispuse de către inspectorii de muncă, cu prilejul vizitelor de control și al cercetării evenimentelor;</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colaborarea cu lucrătorii și/ sau reprezentanții lucrătorilor, serviciile externe de prevenire și protecție, medicul de medicina muncii, în vederea coordonării măsurilor de prevenire și protecție;</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colaborarea cu lucrătorii desemnați/ serviciile interne/ serviciile externe ai/ ale altor angajatori, în situația în care mai mulți angajatori își desfășoară activitatea în același loc de muncă;</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urmărirea actualizării planului de avertizare, a planului de protecție și prevenire și a planului de evacuare;</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bCs/>
          <w:color w:val="auto"/>
          <w:spacing w:val="0"/>
          <w:w w:val="100"/>
          <w:sz w:val="20"/>
          <w:szCs w:val="20"/>
          <w:lang w:val="ro-RO"/>
        </w:rPr>
        <w:t>propunerea de sancțiuni și stimulente pentru lucrători, pe criteriul îndeplinirii obligațiilor și atribuțiilor în domeniul securității și sănătății în muncă</w:t>
      </w:r>
      <w:r>
        <w:rPr>
          <w:rStyle w:val="tpt1"/>
          <w:rFonts w:eastAsia="Arial" w:cs="Arial" w:ascii="Arial" w:hAnsi="Arial"/>
          <w:color w:val="auto"/>
          <w:spacing w:val="0"/>
          <w:w w:val="100"/>
          <w:sz w:val="20"/>
          <w:szCs w:val="20"/>
          <w:lang w:val="ro-RO"/>
        </w:rPr>
        <w:t>;</w:t>
      </w:r>
    </w:p>
    <w:p>
      <w:pPr>
        <w:pStyle w:val="Normal"/>
        <w:widowControl/>
        <w:numPr>
          <w:ilvl w:val="3"/>
          <w:numId w:val="21"/>
        </w:numPr>
        <w:spacing w:before="0" w:after="40"/>
        <w:jc w:val="left"/>
        <w:rPr>
          <w:rFonts w:ascii="Arial" w:hAnsi="Arial" w:cs="Arial"/>
          <w:sz w:val="18"/>
          <w:szCs w:val="18"/>
          <w:lang w:val="pt-PT"/>
        </w:rPr>
      </w:pPr>
      <w:r>
        <w:rPr>
          <w:rStyle w:val="tpt1"/>
          <w:rFonts w:eastAsia="Arial" w:cs="Arial" w:ascii="Arial" w:hAnsi="Arial"/>
          <w:color w:val="auto"/>
          <w:spacing w:val="0"/>
          <w:w w:val="100"/>
          <w:sz w:val="20"/>
          <w:szCs w:val="20"/>
          <w:lang w:val="ro-RO"/>
        </w:rPr>
        <w:t>propunerea de clauze privind securitatea și sănătatea în muncă la încheierea contractelor de prestări de servicii cu alți angajatori, inclusiv la cele încheiate cu angajatori străini;</w:t>
      </w:r>
    </w:p>
    <w:p>
      <w:pPr>
        <w:pStyle w:val="Normal"/>
        <w:widowControl/>
        <w:numPr>
          <w:ilvl w:val="3"/>
          <w:numId w:val="21"/>
        </w:numPr>
        <w:spacing w:before="0" w:after="40"/>
        <w:jc w:val="left"/>
        <w:rPr>
          <w:rStyle w:val="tpt1"/>
          <w:rFonts w:ascii="Arial" w:hAnsi="Arial" w:cs="Arial"/>
          <w:sz w:val="18"/>
          <w:szCs w:val="18"/>
          <w:lang w:val="es-ES_tradnl"/>
        </w:rPr>
      </w:pPr>
      <w:r>
        <w:rPr>
          <w:rStyle w:val="tpt1"/>
          <w:rFonts w:eastAsia="Arial" w:cs="Arial" w:ascii="Arial" w:hAnsi="Arial"/>
          <w:color w:val="auto"/>
          <w:spacing w:val="0"/>
          <w:w w:val="100"/>
          <w:sz w:val="20"/>
          <w:szCs w:val="20"/>
          <w:lang w:val="ro-RO"/>
        </w:rPr>
        <w:t>întocmirea unui necesar de mijloace materiale pentru desfășurarea acestor activități;</w:t>
      </w:r>
    </w:p>
    <w:p>
      <w:pPr>
        <w:pStyle w:val="Normal"/>
        <w:widowControl/>
        <w:numPr>
          <w:ilvl w:val="3"/>
          <w:numId w:val="21"/>
        </w:numPr>
        <w:spacing w:before="0" w:after="40"/>
        <w:jc w:val="left"/>
        <w:rPr>
          <w:rFonts w:ascii="Arial" w:hAnsi="Arial" w:cs="Arial"/>
          <w:sz w:val="18"/>
          <w:szCs w:val="18"/>
          <w:lang w:val="es-ES_tradnl"/>
        </w:rPr>
      </w:pPr>
      <w:r>
        <w:rPr>
          <w:rStyle w:val="tpt1"/>
          <w:rFonts w:eastAsia="Arial" w:cs="Arial" w:ascii="Arial" w:hAnsi="Arial"/>
          <w:bCs/>
          <w:color w:val="auto"/>
          <w:spacing w:val="0"/>
          <w:w w:val="100"/>
          <w:sz w:val="20"/>
          <w:szCs w:val="20"/>
          <w:lang w:val="ro-RO"/>
        </w:rPr>
        <w:t xml:space="preserve">evidența echipamentelor, zonarea corespunzătoare, asigurarea/ urmărirea ca verificările și/ sau încercările periodice ale echipamentelor de muncă să fie efectuate la timp și de către persoane competente ori alte activități necesare, potrivit prevederilor H.G. </w:t>
      </w:r>
      <w:r>
        <w:rPr>
          <w:rFonts w:eastAsia="Arial" w:cs="Arial" w:ascii="Arial" w:hAnsi="Arial"/>
          <w:color w:val="auto"/>
          <w:spacing w:val="0"/>
          <w:w w:val="100"/>
          <w:sz w:val="20"/>
          <w:szCs w:val="20"/>
          <w:u w:val="none"/>
          <w:lang w:val="ro-RO"/>
        </w:rPr>
        <w:t xml:space="preserve">1058/2006</w:t>
      </w:r>
      <w:r>
        <w:rPr>
          <w:rStyle w:val="tpt1"/>
          <w:rFonts w:eastAsia="Arial" w:cs="Arial" w:ascii="Arial" w:hAnsi="Arial"/>
          <w:bCs/>
          <w:color w:val="auto"/>
          <w:spacing w:val="0"/>
          <w:w w:val="100"/>
          <w:sz w:val="20"/>
          <w:szCs w:val="20"/>
          <w:lang w:val="ro-RO"/>
        </w:rPr>
        <w:t xml:space="preserve"> privind cerințele minime pentru îmbunătățirea securității și protecția sănătății lucrătorilor care pot fi expuși unui potențial risc datorat atmosferelor explozive;</w:t>
      </w:r>
    </w:p>
    <w:p>
      <w:pPr>
        <w:pStyle w:val="Normal"/>
        <w:widowControl/>
        <w:numPr>
          <w:ilvl w:val="3"/>
          <w:numId w:val="21"/>
        </w:numPr>
        <w:spacing w:before="0" w:after="120"/>
        <w:jc w:val="left"/>
        <w:rPr>
          <w:rFonts w:ascii="Arial" w:hAnsi="Arial" w:cs="Arial"/>
          <w:sz w:val="18"/>
          <w:szCs w:val="18"/>
          <w:lang w:val="es-ES_tradnl"/>
        </w:rPr>
      </w:pPr>
      <w:r>
        <w:rPr>
          <w:rStyle w:val="tpt1"/>
          <w:rFonts w:eastAsia="Arial" w:cs="Arial" w:ascii="Arial" w:hAnsi="Arial"/>
          <w:bCs/>
          <w:color w:val="auto"/>
          <w:spacing w:val="0"/>
          <w:w w:val="100"/>
          <w:sz w:val="20"/>
          <w:szCs w:val="20"/>
          <w:lang w:val="ro-RO"/>
        </w:rPr>
        <w:t xml:space="preserve">alte activități necesare/ specifice asigurării securității și sănătății lucrătorilor la locul de muncă.</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III. Obligațiile și drepturile angajaților</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în domeniul securității și sănătății în muncă</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22) </w:t>
      </w:r>
      <w:r>
        <w:rPr>
          <w:rFonts w:eastAsia="Arial" w:cs="Arial" w:ascii="Arial" w:hAnsi="Arial"/>
          <w:color w:val="auto"/>
          <w:spacing w:val="0"/>
          <w:w w:val="100"/>
          <w:sz w:val="20"/>
          <w:szCs w:val="20"/>
          <w:lang w:val="ro-RO"/>
        </w:rPr>
        <w:t xml:space="preserve">Fiecare lucrător trebuie să își desfășoare activitatea, în conformitate cu pregătirea și instruirea sa, precum și cu instrucțiunile primite din partea angajatorului, astfel încât să nu expună la pericol de accidentare sau îmbolnăvire profesională atât propria persoană, cât și alte persoane care pot fi afectate de acțiunile sau omisiunile sale în timpul procesului de muncă.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23)</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În mod deosebit, în scopul realizării obiectivelor prevăzute la art. 22 din Legea 319/2006, lucrătorii au următoarele obligații:</w:t>
      </w:r>
    </w:p>
    <w:p>
      <w:pPr>
        <w:pStyle w:val="Normal"/>
        <w:widowControl/>
        <w:numPr>
          <w:ilvl w:val="0"/>
          <w:numId w:val="2"/>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utilizeze corect mașinile, aparatura, uneltele, substanțele periculoase, echipamentele de transport și alte mijloace de producție;</w:t>
      </w:r>
    </w:p>
    <w:p>
      <w:pPr>
        <w:pStyle w:val="Normal"/>
        <w:widowControl/>
        <w:numPr>
          <w:ilvl w:val="0"/>
          <w:numId w:val="2"/>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utilizeze corect echipamentul individual de protecție acordat și, după utilizare, să îl înapoieze sau să îl pună la locul destinat pentru păstrare;</w:t>
      </w:r>
    </w:p>
    <w:p>
      <w:pPr>
        <w:pStyle w:val="Normal"/>
        <w:widowControl/>
        <w:numPr>
          <w:ilvl w:val="0"/>
          <w:numId w:val="2"/>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nu procedeze la scoaterea din funcțiune, la modificarea, schimbarea sau înlăturarea arbitrară a dispozitivelor de securitate proprii, în special ale mașinilor, aparaturii, uneltelor, instalațiilor tehnice și clădirilor, și să utilizeze corect aceste dispozitive;</w:t>
      </w:r>
    </w:p>
    <w:p>
      <w:pPr>
        <w:pStyle w:val="Normal"/>
        <w:widowControl/>
        <w:numPr>
          <w:ilvl w:val="0"/>
          <w:numId w:val="2"/>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să comunice imediat angajatorului și/ sau lucrătorilor desemnați orice situație de muncă despre care au motive întemeiate să o considere un pericol pentru securitatea și sănătatea lucrătorilor, precum și orice deficiență a sistemelor de protecție;</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aducă la cunoștința conducătorului locului de muncă și/ sau angajatorului accidentele suferite de propria persoană;</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coopereze cu angajatorul și/ sau cu lucrătorii desemnați, atât timp cât este necesar, pentru a face posibilă realizarea oricăror măsuri sau cerințe dispuse de către inspectorii de muncă și inspectorii sanitari, pentru protecția sănătății și securității lucrătorilor;</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coopereze, atât timp cât este necesar, cu angajatorul și/ sau cu lucrătorii desemnați, pentru a permite angajatorului să se asigure că mediul de muncă și condițiile de lucru sunt sigure și fără riscuri pentru securitate și sănătate, în domeniul său de activitate;</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își însușească și să respecte prevederile legislației din domeniul securității și sănătății în muncă și măsurile de aplicare a acestora;</w:t>
      </w:r>
    </w:p>
    <w:p>
      <w:pPr>
        <w:pStyle w:val="Normal"/>
        <w:widowControl/>
        <w:numPr>
          <w:ilvl w:val="0"/>
          <w:numId w:val="2"/>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să dea relațiile solicitate de către inspectorii de muncă și inspectorii sanitari.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Obligațiile prevăzute la art. 23 alin. (1) din Legea 319/2006 se aplică, după caz, și celorlalți participanți la procesul de muncă, potrivit activităților pe care aceștia le desfășoară.</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IV. Organizarea activităților de prevenire și protecție</w:t>
      </w:r>
    </w:p>
    <w:p>
      <w:pPr>
        <w:pStyle w:val="Heading1"/>
        <w:widowControl/>
        <w:numPr>
          <w:ilvl w:val="0"/>
          <w:numId w:val="9"/>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(Preluare din H.G. 1425/2006 – Art. 14) </w:t>
      </w:r>
      <w:r>
        <w:rPr>
          <w:rStyle w:val="tpa1"/>
          <w:rFonts w:eastAsia="Arial" w:cs="Arial" w:ascii="Arial" w:hAnsi="Arial"/>
          <w:b/>
          <w:color w:val="auto"/>
          <w:spacing w:val="0"/>
          <w:w w:val="100"/>
          <w:sz w:val="20"/>
          <w:szCs w:val="20"/>
          <w:lang w:val="ro-RO"/>
        </w:rPr>
        <w:t xml:space="preserve">Organizarea activităților de prevenire și protecție este realizată de către angajator, în următoarele moduri:</w:t>
      </w:r>
    </w:p>
    <w:p>
      <w:pPr>
        <w:pStyle w:val="Normal"/>
        <w:widowControl/>
        <w:numPr>
          <w:ilvl w:val="2"/>
          <w:numId w:val="9"/>
        </w:numPr>
        <w:spacing w:before="0" w:after="40"/>
        <w:jc w:val="left"/>
        <w:rPr>
          <w:rFonts w:ascii="Arial" w:hAnsi="Arial" w:cs="Arial"/>
          <w:sz w:val="18"/>
          <w:szCs w:val="18"/>
          <w:lang w:val="ro-RO"/>
        </w:rPr>
      </w:pPr>
      <w:r>
        <w:rPr>
          <w:rStyle w:val="tli1"/>
          <w:rFonts w:eastAsia="Arial" w:cs="Arial" w:ascii="Arial" w:hAnsi="Arial"/>
          <w:color w:val="auto"/>
          <w:spacing w:val="0"/>
          <w:w w:val="100"/>
          <w:sz w:val="20"/>
          <w:szCs w:val="20"/>
          <w:lang w:val="ro-RO"/>
        </w:rPr>
        <w:t>prin asumarea de către angajator, în condițiile art. 9 alin. (4) din lege, a atribuțiilor pentru realizarea măsurilor prevăzute de lege;</w:t>
      </w:r>
    </w:p>
    <w:p>
      <w:pPr>
        <w:pStyle w:val="Normal"/>
        <w:widowControl/>
        <w:numPr>
          <w:ilvl w:val="2"/>
          <w:numId w:val="9"/>
        </w:numPr>
        <w:spacing w:before="0" w:after="40"/>
        <w:jc w:val="left"/>
        <w:rPr>
          <w:rFonts w:ascii="Arial" w:hAnsi="Arial" w:cs="Arial"/>
          <w:sz w:val="18"/>
          <w:szCs w:val="18"/>
          <w:lang w:val="fr-FR"/>
        </w:rPr>
      </w:pPr>
      <w:bookmarkStart w:id="0" w:name="do|caIII|si2|ar14|lid"/>
      <w:r>
        <w:rPr>
          <w:rStyle w:val="tli1"/>
          <w:rFonts w:eastAsia="Arial" w:cs="Arial" w:ascii="Arial" w:hAnsi="Arial"/>
          <w:color w:val="auto"/>
          <w:spacing w:val="0"/>
          <w:w w:val="100"/>
          <w:sz w:val="20"/>
          <w:szCs w:val="20"/>
          <w:lang w:val="ro-RO"/>
        </w:rPr>
        <w:t>prin desemnarea unuia sau mai multor lucrători pentru a se ocupa de activitățile de prevenire și protecție;</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color w:val="auto"/>
          <w:spacing w:val="0"/>
          <w:w w:val="100"/>
          <w:sz w:val="20"/>
          <w:szCs w:val="20"/>
          <w:lang w:val="ro-RO"/>
        </w:rPr>
        <w:t xml:space="preserve">prin înființarea unuia sau mai multor servicii interne de prevenire și protecție;</w:t>
      </w:r>
    </w:p>
    <w:p>
      <w:pPr>
        <w:pStyle w:val="Normal"/>
        <w:widowControl/>
        <w:numPr>
          <w:ilvl w:val="2"/>
          <w:numId w:val="9"/>
        </w:numPr>
        <w:spacing w:before="0" w:after="120"/>
        <w:jc w:val="left"/>
        <w:rPr>
          <w:rFonts w:ascii="Arial" w:hAnsi="Arial" w:cs="Arial"/>
          <w:sz w:val="18"/>
          <w:szCs w:val="18"/>
          <w:lang w:val="fr-FR"/>
        </w:rPr>
      </w:pPr>
      <w:bookmarkEnd w:id="0"/>
      <w:r>
        <w:rPr>
          <w:rStyle w:val="tli1"/>
          <w:rFonts w:eastAsia="Arial" w:cs="Arial" w:ascii="Arial" w:hAnsi="Arial"/>
          <w:color w:val="auto"/>
          <w:spacing w:val="0"/>
          <w:w w:val="100"/>
          <w:sz w:val="20"/>
          <w:szCs w:val="20"/>
          <w:lang w:val="ro-RO"/>
        </w:rPr>
        <w:t>prin apelarea la servicii externe de prevenire și protecție.</w:t>
      </w:r>
    </w:p>
    <w:p>
      <w:pPr>
        <w:pStyle w:val="Heading1"/>
        <w:widowControl/>
        <w:numPr>
          <w:ilvl w:val="0"/>
          <w:numId w:val="9"/>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(Preluare din Legea 319/2006 – Art. 9)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În toate cazurile, pentru a se ocupa de organizarea activităților de prevenire și a celor de protecție, ținând seama de mărimea întreprinderii și/ sau unității și/ sau de riscurile la care sunt expuși lucrătorii, precum și de distribuția acestora în cadrul întreprinderii și/ sau unității, se impune ca:</w:t>
      </w:r>
    </w:p>
    <w:p>
      <w:pPr>
        <w:pStyle w:val="Normal"/>
        <w:widowControl/>
        <w:numPr>
          <w:ilvl w:val="2"/>
          <w:numId w:val="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lucrătorii desemnați să aibă capacitatea necesară și să dispună de mijloacele adecvate;</w:t>
      </w:r>
    </w:p>
    <w:p>
      <w:pPr>
        <w:pStyle w:val="Normal"/>
        <w:widowControl/>
        <w:numPr>
          <w:ilvl w:val="2"/>
          <w:numId w:val="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serviciile externe să aibă aptitudinile necesare și să dispună de mijloace personale și profesionale adecvate;</w:t>
      </w:r>
    </w:p>
    <w:p>
      <w:pPr>
        <w:pStyle w:val="Normal"/>
        <w:widowControl/>
        <w:numPr>
          <w:ilvl w:val="2"/>
          <w:numId w:val="9"/>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lucrătorii desemnați și serviciile externe să fie în număr suficient.</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Prevenirea riscurilor, precum și protecția sănătății și securitatea lucrătorilor trebuie să fie asigurate de unul sau mai mulți lucrători, de un serviciu ori de servicii distincte din interiorul sau din exteriorul întreprinderii și/ sau unității.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Lucrătorul/ lucrătorii și/ sau serviciul/ serviciile prevăzute la alin. (2) trebuie să colaboreze între ei ori de câte ori este necesar.</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microîntreprinderilor și al întreprinderilor mici, în care se desfășoară activități fără riscuri deosebite, angajatorul își poate asuma atribuțiile din domeniul securității și sănătății în muncă pentru realizarea măsurilor prevăzute de prezenta lege, dacă are capacitatea necesară în domeniu.</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Ministerul Muncii, Solidarității Sociale și Familiei stabilește prin norme metodologice de aplicare a prevederilor prezentei legi capacitățile și aptitudinile necesare, precum și numărul considerat suficient, prevăzute la alin. (1) și (4).</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Subcapitolul IV.I. Organizarea activităților de prevenire și protecție pentru </w:t>
      </w:r>
      <w:r>
        <w:rPr>
          <w:rStyle w:val="tal1"/>
          <w:rFonts w:eastAsia="Arial" w:cs="Arial" w:ascii="Arial" w:hAnsi="Arial"/>
          <w:b/>
          <w:bCs/>
          <w:color w:val="auto"/>
          <w:spacing w:val="0"/>
          <w:w w:val="100"/>
          <w:sz w:val="20"/>
          <w:szCs w:val="20"/>
          <w:lang w:val="ro-RO"/>
        </w:rPr>
        <w:t>întreprinderile cu până la 9 lucrători inclusiv</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16)</w:t>
      </w:r>
      <w:r>
        <w:rPr>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 xml:space="preserve">(1) </w:t>
      </w:r>
      <w:r>
        <w:rPr>
          <w:rStyle w:val="tal1"/>
          <w:rFonts w:eastAsia="Arial" w:cs="Arial" w:ascii="Arial" w:hAnsi="Arial"/>
          <w:bCs/>
          <w:color w:val="auto"/>
          <w:spacing w:val="0"/>
          <w:w w:val="100"/>
          <w:sz w:val="20"/>
          <w:szCs w:val="20"/>
          <w:lang w:val="ro-RO"/>
        </w:rPr>
        <w:t xml:space="preserve">În cazul întreprinderilor cu până la 9 lucrători inclusiv, angajatorul poate efectua activitățile din domeniul securității și sănătății în muncă, dacă se îndeplinesc cumulativ următoarele condiții:</w:t>
      </w:r>
    </w:p>
    <w:p>
      <w:pPr>
        <w:pStyle w:val="Normal"/>
        <w:widowControl/>
        <w:numPr>
          <w:ilvl w:val="2"/>
          <w:numId w:val="9"/>
        </w:numPr>
        <w:spacing w:before="0" w:after="40"/>
        <w:jc w:val="left"/>
        <w:rPr>
          <w:rFonts w:ascii="Arial" w:hAnsi="Arial" w:cs="Arial"/>
          <w:sz w:val="18"/>
          <w:szCs w:val="18"/>
          <w:lang w:val="de-DE"/>
        </w:rPr>
      </w:pPr>
      <w:r>
        <w:rPr>
          <w:rStyle w:val="tli1"/>
          <w:rFonts w:eastAsia="Arial" w:cs="Arial" w:ascii="Arial" w:hAnsi="Arial"/>
          <w:bCs/>
          <w:color w:val="auto"/>
          <w:spacing w:val="0"/>
          <w:w w:val="100"/>
          <w:sz w:val="20"/>
          <w:szCs w:val="20"/>
          <w:lang w:val="ro-RO"/>
        </w:rPr>
        <w:t xml:space="preserve">activitățile desfășurate în cadrul întreprinderii nu sunt dintre cele prevăzute în anexa nr. 5 din H.G. 1425/2006;</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angajatorul își desfășoară activitatea profesională în mod efectiv și cu regularitate în întreprindere și/ sau unitate;</w:t>
      </w:r>
    </w:p>
    <w:p>
      <w:pPr>
        <w:pStyle w:val="Normal"/>
        <w:widowControl/>
        <w:numPr>
          <w:ilvl w:val="2"/>
          <w:numId w:val="9"/>
        </w:numPr>
        <w:spacing w:before="0" w:after="12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angajatorul a urmat cel puțin un program de pregătire în domeniul securității și sănătății în muncă, cu o durată minimă de 40 de ore și conținutul prevăzut în anexa nr. 6 lit. A din H.G. 1425/2006, fapt care se atestă printr-un document de absolvire a programului de pregătire.</w:t>
      </w:r>
    </w:p>
    <w:p>
      <w:pPr>
        <w:pStyle w:val="Normal"/>
        <w:widowControl/>
        <w:spacing w:before="0" w:after="120"/>
        <w:ind w:hanging="0"/>
        <w:jc w:val="left"/>
        <w:rPr>
          <w:rFonts w:ascii="Arial" w:hAnsi="Arial" w:cs="Arial"/>
          <w:sz w:val="18"/>
          <w:szCs w:val="18"/>
          <w:lang w:val="fr-FR"/>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bCs/>
          <w:color w:val="auto"/>
          <w:spacing w:val="0"/>
          <w:w w:val="100"/>
          <w:sz w:val="20"/>
          <w:szCs w:val="20"/>
          <w:lang w:val="ro-RO"/>
        </w:rPr>
        <w:t xml:space="preserve">În situația în care nu sunt îndeplinite condițiile prevăzute la alin. (1) de mai sus, angajatorul trebuie să desemneze unul sau mai mulți lucrători ori poate organiza serviciul intern de prevenire și protecție și/ sau poate să apeleze la servicii externe, în condițiile prezentelor norme metodologice.</w:t>
      </w:r>
    </w:p>
    <w:p>
      <w:pPr>
        <w:pStyle w:val="Normal"/>
        <w:widowControl/>
        <w:spacing w:before="0" w:after="120"/>
        <w:ind w:hanging="0"/>
        <w:jc w:val="left"/>
        <w:rPr>
          <w:rStyle w:val="tal1"/>
          <w:rFonts w:ascii="Arial" w:hAnsi="Arial" w:cs="Arial"/>
          <w:bCs/>
          <w:sz w:val="18"/>
          <w:szCs w:val="18"/>
          <w:lang w:val="fr-FR"/>
        </w:rPr>
      </w:pPr>
      <w:r>
        <w:rPr>
          <w:rStyle w:val="al1"/>
          <w:rFonts w:eastAsia="Arial" w:cs="Arial" w:ascii="Arial" w:hAnsi="Arial"/>
          <w:color w:val="auto"/>
          <w:spacing w:val="0"/>
          <w:w w:val="100"/>
          <w:sz w:val="20"/>
          <w:szCs w:val="20"/>
          <w:lang w:val="ro-RO"/>
        </w:rPr>
        <w:t xml:space="preserve">(3) </w:t>
      </w:r>
      <w:r>
        <w:rPr>
          <w:rStyle w:val="tal1"/>
          <w:rFonts w:eastAsia="Arial" w:cs="Arial" w:ascii="Arial" w:hAnsi="Arial"/>
          <w:bCs/>
          <w:color w:val="auto"/>
          <w:spacing w:val="0"/>
          <w:w w:val="100"/>
          <w:sz w:val="20"/>
          <w:szCs w:val="20"/>
          <w:lang w:val="ro-RO"/>
        </w:rPr>
        <w:t xml:space="preserve">În cazul în care angajatorul/ lucrătorii desemnați/ serviciile interne de prevenire și protecție nu au capacitățile și aptitudinile necesare pentru efectuarea tuturor activităților de prevenire și protecție prevăzute la art. 15 din H.G. 1425/2006, angajatorul trebuie să apeleze la servicii externe pentru acele activități de prevenire și protecție pe care nu le poate desfășura cu personalul propriu.</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Subcapitolul IV.II. Organizarea activităților de prevenire și protecție pentru </w:t>
      </w:r>
      <w:r>
        <w:rPr>
          <w:rStyle w:val="tal1"/>
          <w:rFonts w:eastAsia="Arial" w:cs="Arial" w:ascii="Arial" w:hAnsi="Arial"/>
          <w:b/>
          <w:bCs/>
          <w:color w:val="auto"/>
          <w:spacing w:val="0"/>
          <w:w w:val="100"/>
          <w:sz w:val="20"/>
          <w:szCs w:val="20"/>
          <w:lang w:val="ro-RO"/>
        </w:rPr>
        <w:t>întreprinderile care au între 10 și 49 de lucrători inclusiv</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17)</w:t>
      </w:r>
      <w:r>
        <w:rPr>
          <w:rFonts w:eastAsia="Arial" w:cs="Arial" w:ascii="Arial" w:hAnsi="Arial"/>
          <w:color w:val="auto"/>
          <w:spacing w:val="0"/>
          <w:w w:val="100"/>
          <w:sz w:val="20"/>
          <w:szCs w:val="20"/>
          <w:lang w:val="ro-RO"/>
        </w:rPr>
        <w:t xml:space="preserve"> </w:t>
      </w:r>
      <w:bookmarkStart w:id="1" w:name="do|caIII|si2|ar18"/>
      <w:r>
        <w:rPr>
          <w:rStyle w:val="al1"/>
          <w:rFonts w:eastAsia="Arial" w:cs="Arial" w:ascii="Arial" w:hAnsi="Arial"/>
          <w:color w:val="auto"/>
          <w:spacing w:val="0"/>
          <w:w w:val="100"/>
          <w:sz w:val="20"/>
          <w:szCs w:val="20"/>
          <w:lang w:val="ro-RO"/>
        </w:rPr>
        <w:t xml:space="preserve">(1)</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 xml:space="preserve">În cazul întreprinderilor care au între 10 și 49 de lucrători inclusiv, angajatorul poate efectua activitățile din domeniul securității și sănătății în muncă, dacă se îndeplinesc cumulativ următoarele condiții:</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sunt respectate prevederile art. 16 alin. </w:t>
      </w:r>
      <w:r>
        <w:rPr>
          <w:rStyle w:val="tli1"/>
          <w:rFonts w:eastAsia="Arial" w:cs="Arial" w:ascii="Arial" w:hAnsi="Arial"/>
          <w:bCs/>
          <w:color w:val="auto"/>
          <w:spacing w:val="0"/>
          <w:w w:val="100"/>
          <w:sz w:val="20"/>
          <w:szCs w:val="20"/>
          <w:lang w:val="ro-RO"/>
        </w:rPr>
        <w:t xml:space="preserve">(1) lit. a)–c) din H.G. 1425/2006;</w:t>
      </w:r>
    </w:p>
    <w:p>
      <w:pPr>
        <w:pStyle w:val="Normal"/>
        <w:widowControl/>
        <w:numPr>
          <w:ilvl w:val="2"/>
          <w:numId w:val="9"/>
        </w:numPr>
        <w:spacing w:before="0" w:after="12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riscurile identificate nu pot genera accidente sau boli profesionale cu consecințe grave, ireversibile, respectiv deces ori invaliditate.</w:t>
      </w:r>
    </w:p>
    <w:p>
      <w:pPr>
        <w:pStyle w:val="Normal"/>
        <w:widowControl/>
        <w:spacing w:before="0" w:after="120"/>
        <w:ind w:hanging="0"/>
        <w:jc w:val="left"/>
        <w:rPr>
          <w:rFonts w:ascii="Arial" w:hAnsi="Arial" w:cs="Arial"/>
          <w:sz w:val="18"/>
          <w:szCs w:val="18"/>
          <w:lang w:val="fr-FR"/>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 xml:space="preserve">În situația în care nu sunt îndeplinite condițiile prevăzute la alin. (1), angajatorul trebuie să desemneze unul sau mai mulți lucrători ori poate organiza unul sau mai multe servicii interne de prevenire și protecție și/ sau poate să apeleze la servicii externe, în condițiile prezentelor norme metodologice.</w:t>
      </w:r>
    </w:p>
    <w:p>
      <w:pPr>
        <w:pStyle w:val="Normal"/>
        <w:widowControl/>
        <w:spacing w:before="0" w:after="120"/>
        <w:ind w:hanging="0"/>
        <w:jc w:val="left"/>
        <w:rPr>
          <w:rStyle w:val="tal1"/>
          <w:rFonts w:ascii="Arial" w:hAnsi="Arial" w:cs="Arial"/>
          <w:bCs/>
          <w:sz w:val="18"/>
          <w:szCs w:val="18"/>
          <w:lang w:val="fr-FR"/>
        </w:rPr>
      </w:pPr>
      <w:r>
        <w:rPr>
          <w:rStyle w:val="al1"/>
          <w:rFonts w:eastAsia="Arial" w:cs="Arial" w:ascii="Arial" w:hAnsi="Arial"/>
          <w:color w:val="auto"/>
          <w:spacing w:val="0"/>
          <w:w w:val="100"/>
          <w:sz w:val="20"/>
          <w:szCs w:val="20"/>
          <w:lang w:val="ro-RO"/>
        </w:rPr>
        <w:t xml:space="preserve">(3)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 xml:space="preserve">În cazul în care angajatorul/ lucrătorii desemnați/ serviciile interne de prevenire și protecție nu au capacitățile și aptitudinile necesare pentru efectuarea tuturor activităților de prevenire și protecție prevăzute la art. 15 din H.G. 1425/2006, angajatorul trebuie să apeleze la servicii externe pentru acele activități de prevenire și protecție pe care nu le poate desfășura cu personalul propriu.</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Subcapitolul IV.III. Organizarea activităților de prevenire și protecție pentru </w:t>
      </w:r>
      <w:r>
        <w:rPr>
          <w:rStyle w:val="tal1"/>
          <w:rFonts w:eastAsia="Arial" w:cs="Arial" w:ascii="Arial" w:hAnsi="Arial"/>
          <w:b/>
          <w:bCs/>
          <w:color w:val="auto"/>
          <w:spacing w:val="0"/>
          <w:w w:val="100"/>
          <w:sz w:val="20"/>
          <w:szCs w:val="20"/>
          <w:lang w:val="ro-RO"/>
        </w:rPr>
        <w:t>întreprinderile care au între 50 și 249 de lucrători inclusiv</w:t>
      </w:r>
    </w:p>
    <w:p>
      <w:pPr>
        <w:pStyle w:val="Normal"/>
        <w:widowControl/>
        <w:numPr>
          <w:ilvl w:val="0"/>
          <w:numId w:val="9"/>
        </w:numPr>
        <w:spacing w:before="120" w:after="60"/>
        <w:jc w:val="left"/>
        <w:rPr>
          <w:rStyle w:val="tal1"/>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18)</w:t>
      </w:r>
      <w:r>
        <w:rPr>
          <w:rFonts w:eastAsia="Arial" w:cs="Arial" w:ascii="Arial" w:hAnsi="Arial"/>
          <w:color w:val="auto"/>
          <w:spacing w:val="0"/>
          <w:w w:val="100"/>
          <w:sz w:val="20"/>
          <w:szCs w:val="20"/>
          <w:lang w:val="ro-RO"/>
        </w:rPr>
        <w:t xml:space="preserve"> </w:t>
      </w:r>
      <w:bookmarkStart w:id="2" w:name="do|caIII|si2|ar19|al1"/>
      <w:bookmarkEnd w:id="1"/>
      <w:r>
        <w:rPr>
          <w:rStyle w:val="al1"/>
          <w:rFonts w:eastAsia="Arial" w:cs="Arial" w:ascii="Arial" w:hAnsi="Arial"/>
          <w:color w:val="auto"/>
          <w:spacing w:val="0"/>
          <w:w w:val="100"/>
          <w:sz w:val="20"/>
          <w:szCs w:val="20"/>
          <w:lang w:val="ro-RO"/>
        </w:rPr>
        <w:t xml:space="preserve">(1) </w:t>
      </w:r>
      <w:r>
        <w:rPr>
          <w:rStyle w:val="tal1"/>
          <w:rFonts w:eastAsia="Arial" w:cs="Arial" w:ascii="Arial" w:hAnsi="Arial"/>
          <w:bCs/>
          <w:color w:val="auto"/>
          <w:spacing w:val="0"/>
          <w:w w:val="100"/>
          <w:sz w:val="20"/>
          <w:szCs w:val="20"/>
          <w:lang w:val="ro-RO"/>
        </w:rPr>
        <w:t xml:space="preserve">În cazul întreprinderilor și/ sau unităților care au între 50 și 249 de lucrători, angajatorul trebuie să desemneze unul sau mai mulți lucrători ori să organizeze unul sau mai multe servicii interne de prevenire și protecție pentru a se ocupa de activitățile de prevenire și protecție din cadrul întreprinderii.</w:t>
      </w:r>
    </w:p>
    <w:p>
      <w:pPr>
        <w:pStyle w:val="Normal"/>
        <w:widowControl/>
        <w:spacing w:before="0" w:after="120"/>
        <w:ind w:hanging="0"/>
        <w:jc w:val="left"/>
        <w:rPr>
          <w:rFonts w:ascii="Arial" w:hAnsi="Arial" w:cs="Arial"/>
          <w:sz w:val="18"/>
          <w:szCs w:val="18"/>
          <w:lang w:val="fr-FR"/>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bCs/>
          <w:color w:val="auto"/>
          <w:spacing w:val="0"/>
          <w:w w:val="100"/>
          <w:sz w:val="20"/>
          <w:szCs w:val="20"/>
          <w:lang w:val="ro-RO"/>
        </w:rPr>
        <w:t xml:space="preserve">În cazul întreprinderilor și/ sau unităților prevăzute la alin. (1) care desfășoară activități dintre cele prevăzute în anexa nr. 5 </w:t>
      </w:r>
      <w:r>
        <w:rPr>
          <w:rStyle w:val="tli1"/>
          <w:rFonts w:eastAsia="Arial" w:cs="Arial" w:ascii="Arial" w:hAnsi="Arial"/>
          <w:bCs/>
          <w:color w:val="auto"/>
          <w:spacing w:val="0"/>
          <w:w w:val="100"/>
          <w:sz w:val="20"/>
          <w:szCs w:val="20"/>
          <w:lang w:val="ro-RO"/>
        </w:rPr>
        <w:t xml:space="preserve">din H.G. 1425/2006</w:t>
      </w:r>
      <w:r>
        <w:rPr>
          <w:rStyle w:val="tal1"/>
          <w:rFonts w:eastAsia="Arial" w:cs="Arial" w:ascii="Arial" w:hAnsi="Arial"/>
          <w:bCs/>
          <w:color w:val="auto"/>
          <w:spacing w:val="0"/>
          <w:w w:val="100"/>
          <w:sz w:val="20"/>
          <w:szCs w:val="20"/>
          <w:lang w:val="ro-RO"/>
        </w:rPr>
        <w:t xml:space="preserve">, angajatorul trebuie să organizeze unul sau mai multe servicii interne de prevenire și protecție.</w:t>
      </w:r>
    </w:p>
    <w:p>
      <w:pPr>
        <w:pStyle w:val="Normal"/>
        <w:widowControl/>
        <w:spacing w:before="0" w:after="120"/>
        <w:ind w:hanging="0"/>
        <w:jc w:val="left"/>
        <w:rPr>
          <w:rFonts w:ascii="Arial" w:hAnsi="Arial" w:cs="Arial"/>
          <w:i/>
          <w:sz w:val="18"/>
          <w:szCs w:val="18"/>
          <w:lang w:val="de-DE"/>
        </w:rPr>
      </w:pPr>
      <w:r>
        <w:rPr>
          <w:rStyle w:val="al1"/>
          <w:rFonts w:eastAsia="Arial" w:cs="Arial" w:ascii="Arial" w:hAnsi="Arial"/>
          <w:color w:val="auto"/>
          <w:spacing w:val="0"/>
          <w:w w:val="100"/>
          <w:sz w:val="20"/>
          <w:szCs w:val="20"/>
          <w:lang w:val="ro-RO"/>
        </w:rPr>
        <w:t xml:space="preserve">(3) </w:t>
      </w:r>
      <w:r>
        <w:rPr>
          <w:rStyle w:val="tal1"/>
          <w:rFonts w:eastAsia="Arial" w:cs="Arial" w:ascii="Arial" w:hAnsi="Arial"/>
          <w:bCs/>
          <w:color w:val="auto"/>
          <w:spacing w:val="0"/>
          <w:w w:val="100"/>
          <w:sz w:val="20"/>
          <w:szCs w:val="20"/>
          <w:lang w:val="ro-RO"/>
        </w:rPr>
        <w:t xml:space="preserve">În cazul în care lucrătorii desemnați, serviciile interne de prevenire și protecție nu au capacitățile și aptitudinile necesare pentru efectuarea tuturor activităților de prevenire și protecție prevăzute la art. 15 din H.G. 1425/2006, angajatorul trebuie să apeleze la servicii externe pentru acele activități de prevenire și protecție pe care nu le poate desfășura cu personalul propriu.</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Subcapitolul IV.IV. Organizarea activităților de prevenire și protecție </w:t>
      </w:r>
      <w:r>
        <w:rPr>
          <w:rStyle w:val="tal1"/>
          <w:rFonts w:eastAsia="Arial" w:cs="Arial" w:ascii="Arial" w:hAnsi="Arial"/>
          <w:b/>
          <w:bCs/>
          <w:color w:val="auto"/>
          <w:spacing w:val="0"/>
          <w:w w:val="100"/>
          <w:sz w:val="20"/>
          <w:szCs w:val="20"/>
          <w:lang w:val="ro-RO"/>
        </w:rPr>
        <w:t>în cazul întreprinderilor și/ sau unităților care au peste 250 de lucrători</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19)</w:t>
      </w:r>
      <w:r>
        <w:rPr>
          <w:rFonts w:eastAsia="Arial" w:cs="Arial" w:ascii="Arial" w:hAnsi="Arial"/>
          <w:color w:val="auto"/>
          <w:spacing w:val="0"/>
          <w:w w:val="100"/>
          <w:sz w:val="20"/>
          <w:szCs w:val="20"/>
          <w:lang w:val="ro-RO"/>
        </w:rPr>
        <w:t xml:space="preserve"> </w:t>
      </w:r>
      <w:bookmarkEnd w:id="2"/>
      <w:r>
        <w:rPr>
          <w:rStyle w:val="al1"/>
          <w:rFonts w:eastAsia="Arial" w:cs="Arial" w:ascii="Arial" w:hAnsi="Arial"/>
          <w:color w:val="auto"/>
          <w:spacing w:val="0"/>
          <w:w w:val="100"/>
          <w:sz w:val="20"/>
          <w:szCs w:val="20"/>
          <w:lang w:val="ro-RO"/>
        </w:rPr>
        <w:t xml:space="preserve">(1) </w:t>
      </w:r>
      <w:r>
        <w:rPr>
          <w:rStyle w:val="tal1"/>
          <w:rFonts w:eastAsia="Arial" w:cs="Arial" w:ascii="Arial" w:hAnsi="Arial"/>
          <w:bCs/>
          <w:color w:val="auto"/>
          <w:spacing w:val="0"/>
          <w:w w:val="100"/>
          <w:sz w:val="20"/>
          <w:szCs w:val="20"/>
          <w:lang w:val="ro-RO"/>
        </w:rPr>
        <w:t xml:space="preserve">În cazul întreprinderilor și/ sau unităților care au peste 250 de lucrători, angajatorul trebuie să organizeze unul sau mai multe servicii interne de prevenire și protecție.</w:t>
      </w:r>
    </w:p>
    <w:p>
      <w:pPr>
        <w:pStyle w:val="Normal"/>
        <w:widowControl/>
        <w:spacing w:before="0" w:after="120"/>
        <w:ind w:hanging="0"/>
        <w:jc w:val="left"/>
        <w:rPr>
          <w:rStyle w:val="tal1"/>
          <w:rFonts w:ascii="Arial" w:hAnsi="Arial" w:cs="Arial"/>
          <w:bCs/>
          <w:sz w:val="18"/>
          <w:szCs w:val="18"/>
          <w:lang w:val="fr-FR"/>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bCs/>
          <w:color w:val="auto"/>
          <w:spacing w:val="0"/>
          <w:w w:val="100"/>
          <w:sz w:val="20"/>
          <w:szCs w:val="20"/>
          <w:lang w:val="ro-RO"/>
        </w:rPr>
        <w:t xml:space="preserve">În cazul în care serviciile interne de prevenire și protecție nu au capacitățile și aptitudinile necesare pentru efectuarea tuturor activităților de prevenire și protecție prevăzute la art. 15 din H.G. 1425/2006, angajatorul trebuie să apeleze la unul sau mai multe servicii externe pentru acele activități de prevenire și protecție pe care nu le poate desfășura cu personalul propriu.</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Subcapitolul IV.V. Desemnarea lucrătorilor pentru activitățile de prevenire și protecție</w:t>
      </w:r>
      <w:r>
        <w:rPr>
          <w:rStyle w:val="tal1"/>
          <w:rFonts w:eastAsia="Arial" w:cs="Arial" w:ascii="Arial" w:hAnsi="Arial"/>
          <w:b/>
          <w:bCs/>
          <w:color w:val="auto"/>
          <w:spacing w:val="0"/>
          <w:w w:val="100"/>
          <w:sz w:val="20"/>
          <w:szCs w:val="20"/>
          <w:lang w:val="ro-RO"/>
        </w:rPr>
        <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20)</w:t>
      </w:r>
      <w:r>
        <w:rPr>
          <w:rStyle w:val="tal1"/>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 xml:space="preserve">(1) </w:t>
      </w:r>
      <w:r>
        <w:rPr>
          <w:rStyle w:val="tal1"/>
          <w:rFonts w:eastAsia="Arial" w:cs="Arial" w:ascii="Arial" w:hAnsi="Arial"/>
          <w:bCs/>
          <w:color w:val="auto"/>
          <w:spacing w:val="0"/>
          <w:w w:val="100"/>
          <w:sz w:val="20"/>
          <w:szCs w:val="20"/>
          <w:lang w:val="ro-RO"/>
        </w:rPr>
        <w:t xml:space="preserve">Desemnarea nominală a lucrătorului/ lucrătorilor pentru a se ocupa de activitățile de prevenire și protecție se face prin decizie scrisă a angajatorului.</w:t>
      </w:r>
    </w:p>
    <w:p>
      <w:pPr>
        <w:pStyle w:val="Normal"/>
        <w:widowControl/>
        <w:spacing w:before="0" w:after="120"/>
        <w:ind w:hanging="0"/>
        <w:jc w:val="left"/>
        <w:rPr>
          <w:rFonts w:ascii="Arial" w:hAnsi="Arial" w:cs="Arial"/>
          <w:sz w:val="18"/>
          <w:szCs w:val="18"/>
          <w:lang w:val="de-DE"/>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bCs/>
          <w:color w:val="auto"/>
          <w:spacing w:val="0"/>
          <w:w w:val="100"/>
          <w:sz w:val="20"/>
          <w:szCs w:val="20"/>
          <w:lang w:val="ro-RO"/>
        </w:rPr>
        <w:t xml:space="preserve">Angajatorul va desemna lucrătorul numai din rândul lucrătorilor cu care are încheiat contract individual de muncă cu normă întreagă.</w:t>
      </w:r>
    </w:p>
    <w:p>
      <w:pPr>
        <w:pStyle w:val="Normal"/>
        <w:widowControl/>
        <w:spacing w:before="0" w:after="120"/>
        <w:ind w:hanging="0"/>
        <w:jc w:val="left"/>
        <w:rPr>
          <w:rStyle w:val="tal1"/>
          <w:rFonts w:ascii="Arial" w:hAnsi="Arial" w:cs="Arial"/>
          <w:bCs/>
          <w:sz w:val="18"/>
          <w:szCs w:val="18"/>
          <w:lang w:val="fr-FR"/>
        </w:rPr>
      </w:pPr>
      <w:r>
        <w:rPr>
          <w:rStyle w:val="al1"/>
          <w:rFonts w:eastAsia="Arial" w:cs="Arial" w:ascii="Arial" w:hAnsi="Arial"/>
          <w:color w:val="auto"/>
          <w:spacing w:val="0"/>
          <w:w w:val="100"/>
          <w:sz w:val="20"/>
          <w:szCs w:val="20"/>
          <w:lang w:val="ro-RO"/>
        </w:rPr>
        <w:t xml:space="preserve">(3) </w:t>
      </w:r>
      <w:r>
        <w:rPr>
          <w:rStyle w:val="tal1"/>
          <w:rFonts w:eastAsia="Arial" w:cs="Arial" w:ascii="Arial" w:hAnsi="Arial"/>
          <w:bCs/>
          <w:color w:val="auto"/>
          <w:spacing w:val="0"/>
          <w:w w:val="100"/>
          <w:sz w:val="20"/>
          <w:szCs w:val="20"/>
          <w:lang w:val="ro-RO"/>
        </w:rPr>
        <w:t xml:space="preserve">Angajatorul va consemna în fișa postului activitățile de prevenire și protecție pe care lucrătorul desemnat are capacitatea, timpul necesar și mijloacele adecvate să le efectueze.</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Subcapitolul IV.VI. Lucrătorii desemnați</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21)</w:t>
      </w:r>
      <w:r>
        <w:rPr>
          <w:rStyle w:val="tal1"/>
          <w:rFonts w:eastAsia="Arial" w:cs="Arial" w:ascii="Arial" w:hAnsi="Arial"/>
          <w:color w:val="auto"/>
          <w:spacing w:val="0"/>
          <w:w w:val="100"/>
          <w:sz w:val="20"/>
          <w:szCs w:val="20"/>
          <w:lang w:val="ro-RO"/>
        </w:rPr>
        <w:t xml:space="preserve"> </w:t>
      </w:r>
      <w:bookmarkStart w:id="3" w:name="do|caIII|si3|ar21|pa1"/>
      <w:bookmarkEnd w:id="3"/>
      <w:r>
        <w:rPr>
          <w:rStyle w:val="tpa1"/>
          <w:rFonts w:eastAsia="Arial" w:cs="Arial" w:ascii="Arial" w:hAnsi="Arial"/>
          <w:bCs/>
          <w:color w:val="auto"/>
          <w:spacing w:val="0"/>
          <w:w w:val="100"/>
          <w:sz w:val="20"/>
          <w:szCs w:val="20"/>
          <w:lang w:val="ro-RO"/>
        </w:rPr>
        <w:t xml:space="preserve">Pentru a putea să desfășoare activitățile de prevenire și protecție, lucrătorul desemnat trebuie să îndeplinească cel puțin cerințele minime de pregătire în domeniul securității și sănătății în muncă, potrivit prevederilor art. 49 din H.G. 1425/2006.</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22)</w:t>
      </w:r>
      <w:r>
        <w:rPr>
          <w:rStyle w:val="tal1"/>
          <w:rFonts w:eastAsia="Arial" w:cs="Arial" w:ascii="Arial" w:hAnsi="Arial"/>
          <w:color w:val="auto"/>
          <w:spacing w:val="0"/>
          <w:w w:val="100"/>
          <w:sz w:val="20"/>
          <w:szCs w:val="20"/>
          <w:lang w:val="ro-RO"/>
        </w:rPr>
        <w:t xml:space="preserve"> </w:t>
      </w:r>
      <w:bookmarkStart w:id="4" w:name="do|caIII|si3|ar22|al1"/>
      <w:bookmarkEnd w:id="4"/>
      <w:r>
        <w:rPr>
          <w:rStyle w:val="al1"/>
          <w:rFonts w:eastAsia="Arial" w:cs="Arial" w:ascii="Arial" w:hAnsi="Arial"/>
          <w:color w:val="auto"/>
          <w:spacing w:val="0"/>
          <w:w w:val="100"/>
          <w:sz w:val="20"/>
          <w:szCs w:val="20"/>
          <w:lang w:val="ro-RO"/>
        </w:rPr>
        <w:t xml:space="preserve">(1) </w:t>
      </w:r>
      <w:r>
        <w:rPr>
          <w:rStyle w:val="tal1"/>
          <w:rFonts w:eastAsia="Arial" w:cs="Arial" w:ascii="Arial" w:hAnsi="Arial"/>
          <w:color w:val="auto"/>
          <w:spacing w:val="0"/>
          <w:w w:val="100"/>
          <w:sz w:val="20"/>
          <w:szCs w:val="20"/>
          <w:lang w:val="ro-RO"/>
        </w:rPr>
        <w:t xml:space="preserve">Angajatorul va stabili numărul de lucrători desemnați în funcție de mărimea întreprinderii și/ sau unității și/ sau riscurile la care sunt expuși lucrătorii, precum și de distribuția acestora în cadrul întreprinderii și/ sau unității.</w:t>
      </w:r>
    </w:p>
    <w:p>
      <w:pPr>
        <w:pStyle w:val="Normal"/>
        <w:widowControl/>
        <w:spacing w:before="0" w:after="120"/>
        <w:ind w:hanging="0"/>
        <w:jc w:val="left"/>
        <w:rPr>
          <w:rStyle w:val="tal1"/>
          <w:rFonts w:ascii="Arial" w:hAnsi="Arial" w:cs="Arial"/>
          <w:sz w:val="18"/>
          <w:szCs w:val="18"/>
          <w:lang w:val="it-IT"/>
        </w:rPr>
      </w:pPr>
      <w:bookmarkStart w:id="5" w:name="do|caIII|si3|ar22|al2"/>
      <w:bookmarkEnd w:id="5"/>
      <w:r>
        <w:rPr>
          <w:rStyle w:val="al1"/>
          <w:rFonts w:eastAsia="Arial" w:cs="Arial" w:ascii="Arial" w:hAnsi="Arial"/>
          <w:color w:val="auto"/>
          <w:spacing w:val="0"/>
          <w:w w:val="100"/>
          <w:sz w:val="20"/>
          <w:szCs w:val="20"/>
          <w:lang w:val="ro-RO"/>
        </w:rPr>
        <w:t xml:space="preserve">(2) </w:t>
      </w:r>
      <w:r>
        <w:rPr>
          <w:rStyle w:val="tal1"/>
          <w:rFonts w:eastAsia="Arial" w:cs="Arial" w:ascii="Arial" w:hAnsi="Arial"/>
          <w:color w:val="auto"/>
          <w:spacing w:val="0"/>
          <w:w w:val="100"/>
          <w:sz w:val="20"/>
          <w:szCs w:val="20"/>
          <w:lang w:val="ro-RO"/>
        </w:rPr>
        <w:t>Angajatorul trebuie să asigure mijloacele adecvate și timpul necesar pentru ca lucrătorii desemnați să poată desfășura activitățile de prevenire și protecție conform fișei postului.</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Subcapitolul IV.VII. Servicii externe de prevenire și protecție</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28)</w:t>
      </w:r>
      <w:r>
        <w:rPr>
          <w:rStyle w:val="tal1"/>
          <w:rFonts w:eastAsia="Arial" w:cs="Arial" w:ascii="Arial" w:hAnsi="Arial"/>
          <w:color w:val="auto"/>
          <w:spacing w:val="0"/>
          <w:w w:val="100"/>
          <w:sz w:val="20"/>
          <w:szCs w:val="20"/>
          <w:lang w:val="ro-RO"/>
        </w:rPr>
        <w:t xml:space="preserve"> </w:t>
      </w:r>
      <w:bookmarkStart w:id="6" w:name="do|caIII|si5|ar28|pa1"/>
      <w:bookmarkEnd w:id="6"/>
      <w:r>
        <w:rPr>
          <w:rStyle w:val="tpa1"/>
          <w:rFonts w:eastAsia="Arial" w:cs="Arial" w:ascii="Arial" w:hAnsi="Arial"/>
          <w:color w:val="auto"/>
          <w:spacing w:val="0"/>
          <w:w w:val="100"/>
          <w:sz w:val="20"/>
          <w:szCs w:val="20"/>
          <w:lang w:val="ro-RO"/>
        </w:rPr>
        <w:t xml:space="preserve">Serviciul extern de prevenire și protecție asigură, pe bază de contract, activitățile de prevenire și protecție în domeniu.</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30)</w:t>
      </w:r>
      <w:r>
        <w:rPr>
          <w:rStyle w:val="tal1"/>
          <w:rFonts w:eastAsia="Arial" w:cs="Arial" w:ascii="Arial" w:hAnsi="Arial"/>
          <w:color w:val="auto"/>
          <w:spacing w:val="0"/>
          <w:w w:val="100"/>
          <w:sz w:val="20"/>
          <w:szCs w:val="20"/>
          <w:lang w:val="ro-RO"/>
        </w:rPr>
        <w:t xml:space="preserve"> </w:t>
      </w:r>
      <w:bookmarkStart w:id="7" w:name="do|caIII|si5|ar30|pa1"/>
      <w:bookmarkEnd w:id="7"/>
      <w:r>
        <w:rPr>
          <w:rStyle w:val="tpa1"/>
          <w:rFonts w:eastAsia="Arial" w:cs="Arial" w:ascii="Arial" w:hAnsi="Arial"/>
          <w:color w:val="auto"/>
          <w:spacing w:val="0"/>
          <w:w w:val="100"/>
          <w:sz w:val="20"/>
          <w:szCs w:val="20"/>
          <w:lang w:val="ro-RO"/>
        </w:rPr>
        <w:t xml:space="preserve">Serviciul extern trebuie să aibă acces la toate informațiile necesare desfășurării activității de prevenire și protecție.</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33)</w:t>
      </w:r>
      <w:r>
        <w:rPr>
          <w:rStyle w:val="tal1"/>
          <w:rFonts w:eastAsia="Arial" w:cs="Arial" w:ascii="Arial" w:hAnsi="Arial"/>
          <w:color w:val="auto"/>
          <w:spacing w:val="0"/>
          <w:w w:val="100"/>
          <w:sz w:val="20"/>
          <w:szCs w:val="20"/>
          <w:lang w:val="ro-RO"/>
        </w:rPr>
        <w:t xml:space="preserve"> </w:t>
      </w:r>
      <w:bookmarkStart w:id="8" w:name="do|caIII|si5|ar33|pa1"/>
      <w:bookmarkEnd w:id="8"/>
      <w:r>
        <w:rPr>
          <w:rStyle w:val="al1"/>
          <w:rFonts w:eastAsia="Arial" w:cs="Arial" w:ascii="Arial" w:hAnsi="Arial"/>
          <w:color w:val="auto"/>
          <w:spacing w:val="0"/>
          <w:w w:val="100"/>
          <w:sz w:val="20"/>
          <w:szCs w:val="20"/>
          <w:lang w:val="ro-RO"/>
        </w:rPr>
        <w:t xml:space="preserve">(1)</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 xml:space="preserve">Contractul încheiat între angajator și serviciul extern de prevenire și protecție trebuie să cuprindă și următoarele:</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activitățile de prevenire și protecție care vor fi desfășurate de către fiecare serviciu extern de prevenire și protecție;</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modul de colaborare cu lucrătorii desemnați/ serviciile interne și/ sau cu alte servicii externe de prevenire și protecție;</w:t>
      </w:r>
    </w:p>
    <w:p>
      <w:pPr>
        <w:pStyle w:val="Normal"/>
        <w:widowControl/>
        <w:numPr>
          <w:ilvl w:val="2"/>
          <w:numId w:val="9"/>
        </w:numPr>
        <w:spacing w:before="0" w:after="120"/>
        <w:jc w:val="left"/>
        <w:rPr>
          <w:rStyle w:val="tli1"/>
          <w:rFonts w:ascii="Arial" w:hAnsi="Arial" w:cs="Arial"/>
          <w:bCs/>
          <w:sz w:val="18"/>
          <w:szCs w:val="18"/>
          <w:lang w:val="fr-FR"/>
        </w:rPr>
      </w:pPr>
      <w:r>
        <w:rPr>
          <w:rStyle w:val="tli1"/>
          <w:rFonts w:eastAsia="Arial" w:cs="Arial" w:ascii="Arial" w:hAnsi="Arial"/>
          <w:bCs/>
          <w:color w:val="auto"/>
          <w:spacing w:val="0"/>
          <w:w w:val="100"/>
          <w:sz w:val="20"/>
          <w:szCs w:val="20"/>
          <w:lang w:val="ro-RO"/>
        </w:rPr>
        <w:t xml:space="preserve">clauze privind soluționarea litigiilor apărute între părți.</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Subcapitolul IV.VIII. </w:t>
      </w:r>
      <w:r>
        <w:rPr>
          <w:rStyle w:val="tpa1"/>
          <w:rFonts w:eastAsia="Arial" w:cs="Arial" w:ascii="Arial" w:hAnsi="Arial"/>
          <w:b/>
          <w:color w:val="auto"/>
          <w:spacing w:val="0"/>
          <w:w w:val="100"/>
          <w:sz w:val="20"/>
          <w:szCs w:val="20"/>
          <w:lang w:val="ro-RO"/>
        </w:rPr>
        <w:t>Reprezentanții lucrătorilor cu răspunderi specifice</w:t>
      </w:r>
    </w:p>
    <w:p>
      <w:pPr>
        <w:pStyle w:val="Normal"/>
        <w:widowControl/>
        <w:numPr>
          <w:ilvl w:val="0"/>
          <w:numId w:val="9"/>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52)</w:t>
      </w:r>
      <w:r>
        <w:rPr>
          <w:rStyle w:val="tal1"/>
          <w:rFonts w:eastAsia="Arial" w:cs="Arial" w:ascii="Arial" w:hAnsi="Arial"/>
          <w:color w:val="auto"/>
          <w:spacing w:val="0"/>
          <w:w w:val="100"/>
          <w:sz w:val="20"/>
          <w:szCs w:val="20"/>
          <w:lang w:val="ro-RO"/>
        </w:rPr>
        <w:t xml:space="preserve"> </w:t>
      </w:r>
      <w:bookmarkStart w:id="9" w:name="do|caIII|si9|ar52|pa1"/>
      <w:bookmarkEnd w:id="9"/>
      <w:r>
        <w:rPr>
          <w:rStyle w:val="tpa1"/>
          <w:rFonts w:eastAsia="Arial" w:cs="Arial" w:ascii="Arial" w:hAnsi="Arial"/>
          <w:color w:val="auto"/>
          <w:spacing w:val="0"/>
          <w:w w:val="100"/>
          <w:sz w:val="20"/>
          <w:szCs w:val="20"/>
          <w:lang w:val="ro-RO"/>
        </w:rPr>
        <w:t xml:space="preserve">Reprezentanții lucrătorilor cu răspunderi specifice în domeniul securității și sănătății în muncă, definiți conform art. 5 lit. d) din Legea 319/2006, sunt aleși de către și dintre lucrătorii din întreprindere și/ sau unitate, conform celor stabilite prin contractul colectiv de muncă, regulamentul intern sau regulamentul de organizare și funcționare.</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5 lit. d))</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În sensul Legii 319/2006, termenul de reprezentant al lucrătorilor cu răspunderi specifice în domeniul securității și sănătății lucrătorilor are următorul înțeles: persoana aleasă, selectată sau desemnată de lucrători, în conformitate cu prevederile legale, să îi reprezinte pe aceștia în ceea ce privește problemele referitoare la protecția securității și sănătății lucrătorilor în muncă.</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53)</w:t>
      </w:r>
      <w:r>
        <w:rPr>
          <w:rStyle w:val="tal1"/>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 xml:space="preserve">(1) </w:t>
      </w:r>
      <w:r>
        <w:rPr>
          <w:rStyle w:val="tal1"/>
          <w:rFonts w:eastAsia="Arial" w:cs="Arial" w:ascii="Arial" w:hAnsi="Arial"/>
          <w:bCs/>
          <w:color w:val="auto"/>
          <w:spacing w:val="0"/>
          <w:w w:val="100"/>
          <w:sz w:val="20"/>
          <w:szCs w:val="20"/>
          <w:lang w:val="ro-RO"/>
        </w:rPr>
        <w:t xml:space="preserve">Numărul de reprezentanți ai lucrătorilor cu răspunderi specifice în domeniul securității și sănătății, care se aleg, va fi stabilit prin contractul colectiv de muncă, regulamentul intern sau regulamentul de organizare și funcționare, în funcție de numărul total al lucrătorilor din întreprindere și/ sau unitate.</w:t>
      </w:r>
    </w:p>
    <w:p>
      <w:pPr>
        <w:pStyle w:val="Normal"/>
        <w:keepNext/>
        <w:widowControl/>
        <w:spacing w:before="0" w:after="60"/>
        <w:ind w:hanging="0"/>
        <w:jc w:val="left"/>
        <w:rPr>
          <w:rFonts w:ascii="Arial" w:hAnsi="Arial" w:cs="Arial"/>
          <w:sz w:val="18"/>
          <w:szCs w:val="18"/>
          <w:lang w:val="fr-FR"/>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Numărul minim prevăzut la alin. (1) va fi stabilit după cum urmează:</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un reprezentant, în cazul întreprinderilor și/ sau unităților care au între 10 și 49 de lucrători inclusiv;</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2 reprezentanți, în cazul întreprinderilor și/ sau unităților care au între 50 și 100 de lucrători inclusiv;</w:t>
      </w:r>
    </w:p>
    <w:p>
      <w:pPr>
        <w:pStyle w:val="Normal"/>
        <w:widowControl/>
        <w:numPr>
          <w:ilvl w:val="2"/>
          <w:numId w:val="9"/>
        </w:numPr>
        <w:spacing w:before="0" w:after="120"/>
        <w:jc w:val="left"/>
        <w:rPr>
          <w:rFonts w:ascii="Arial" w:hAnsi="Arial" w:cs="Arial"/>
          <w:sz w:val="18"/>
          <w:szCs w:val="18"/>
          <w:lang w:val="de-DE"/>
        </w:rPr>
      </w:pPr>
      <w:r>
        <w:rPr>
          <w:rStyle w:val="tli1"/>
          <w:rFonts w:eastAsia="Arial" w:cs="Arial" w:ascii="Arial" w:hAnsi="Arial"/>
          <w:bCs/>
          <w:color w:val="auto"/>
          <w:spacing w:val="0"/>
          <w:w w:val="100"/>
          <w:sz w:val="20"/>
          <w:szCs w:val="20"/>
          <w:lang w:val="ro-RO"/>
        </w:rPr>
        <w:t xml:space="preserve">conform cerințelor prevăzute la art. 60 alin. (3) din </w:t>
      </w:r>
      <w:r>
        <w:rPr>
          <w:rStyle w:val="tpa1"/>
          <w:rFonts w:eastAsia="Arial" w:cs="Arial" w:ascii="Arial" w:hAnsi="Arial"/>
          <w:bCs/>
          <w:color w:val="auto"/>
          <w:spacing w:val="0"/>
          <w:w w:val="100"/>
          <w:sz w:val="20"/>
          <w:szCs w:val="20"/>
          <w:lang w:val="ro-RO"/>
        </w:rPr>
        <w:t xml:space="preserve">H.G. 1425/2006</w:t>
      </w:r>
      <w:r>
        <w:rPr>
          <w:rStyle w:val="tli1"/>
          <w:rFonts w:eastAsia="Arial" w:cs="Arial" w:ascii="Arial" w:hAnsi="Arial"/>
          <w:bCs/>
          <w:color w:val="auto"/>
          <w:spacing w:val="0"/>
          <w:w w:val="100"/>
          <w:sz w:val="20"/>
          <w:szCs w:val="20"/>
          <w:lang w:val="ro-RO"/>
        </w:rPr>
        <w:t xml:space="preserve">, în cazul întreprinderilor și/ sau unităților care au peste 101 lucrători inclusiv.</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54)</w:t>
      </w:r>
      <w:r>
        <w:rPr>
          <w:rStyle w:val="tal1"/>
          <w:rFonts w:eastAsia="Arial" w:cs="Arial" w:ascii="Arial" w:hAnsi="Arial"/>
          <w:color w:val="auto"/>
          <w:spacing w:val="0"/>
          <w:w w:val="100"/>
          <w:sz w:val="20"/>
          <w:szCs w:val="20"/>
          <w:lang w:val="ro-RO"/>
        </w:rPr>
        <w:t xml:space="preserve"> </w:t>
      </w:r>
      <w:bookmarkStart w:id="10" w:name="do|caIII|si9|ar54|pa1"/>
      <w:bookmarkEnd w:id="10"/>
      <w:r>
        <w:rPr>
          <w:rStyle w:val="tpa1"/>
          <w:rFonts w:eastAsia="Arial" w:cs="Arial" w:ascii="Arial" w:hAnsi="Arial"/>
          <w:color w:val="auto"/>
          <w:spacing w:val="0"/>
          <w:w w:val="100"/>
          <w:sz w:val="20"/>
          <w:szCs w:val="20"/>
          <w:lang w:val="ro-RO"/>
        </w:rPr>
        <w:t xml:space="preserve">Lucrătorii comunică în scris angajatorului numărul și numele reprezentanților lucrătorilor cu răspunderi specifice în domeniul securității și sănătății în muncă.</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55)</w:t>
      </w:r>
      <w:r>
        <w:rPr>
          <w:rStyle w:val="tal1"/>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 xml:space="preserve">(1) </w:t>
      </w:r>
      <w:r>
        <w:rPr>
          <w:rStyle w:val="tal1"/>
          <w:rFonts w:eastAsia="Arial" w:cs="Arial" w:ascii="Arial" w:hAnsi="Arial"/>
          <w:bCs/>
          <w:color w:val="auto"/>
          <w:spacing w:val="0"/>
          <w:w w:val="100"/>
          <w:sz w:val="20"/>
          <w:szCs w:val="20"/>
          <w:lang w:val="ro-RO"/>
        </w:rPr>
        <w:t xml:space="preserve">Reprezentanții lucrătorilor cu răspunderi specifice în domeniul securității și sănătății lucrătorilor trebuie să urmeze un program de pregătire în domeniul securității și sănătății în muncă, cu o durată de cel puțin 40 de ore, cu conținutul minim conform celui prevăzut în anexa nr. 6 lit. A</w:t>
      </w:r>
      <w:r>
        <w:rPr>
          <w:rStyle w:val="tli1"/>
          <w:rFonts w:eastAsia="Arial" w:cs="Arial" w:ascii="Arial" w:hAnsi="Arial"/>
          <w:bCs/>
          <w:color w:val="auto"/>
          <w:spacing w:val="0"/>
          <w:w w:val="100"/>
          <w:sz w:val="20"/>
          <w:szCs w:val="20"/>
          <w:lang w:val="ro-RO"/>
        </w:rPr>
        <w:t xml:space="preserve"> din H.G. 1425/2006</w:t>
      </w:r>
      <w:r>
        <w:rPr>
          <w:rStyle w:val="tal1"/>
          <w:rFonts w:eastAsia="Arial" w:cs="Arial" w:ascii="Arial" w:hAnsi="Arial"/>
          <w:bCs/>
          <w:color w:val="auto"/>
          <w:spacing w:val="0"/>
          <w:w w:val="100"/>
          <w:sz w:val="20"/>
          <w:szCs w:val="20"/>
          <w:lang w:val="ro-RO"/>
        </w:rPr>
        <w:t xml:space="preserve">.</w:t>
      </w:r>
    </w:p>
    <w:p>
      <w:pPr>
        <w:pStyle w:val="Normal"/>
        <w:widowControl/>
        <w:spacing w:before="0" w:after="120"/>
        <w:ind w:hanging="0"/>
        <w:jc w:val="left"/>
        <w:rPr>
          <w:rFonts w:ascii="Arial" w:hAnsi="Arial" w:cs="Arial"/>
          <w:sz w:val="18"/>
          <w:szCs w:val="18"/>
          <w:lang w:val="de-DE"/>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bCs/>
          <w:color w:val="auto"/>
          <w:spacing w:val="0"/>
          <w:w w:val="100"/>
          <w:sz w:val="20"/>
          <w:szCs w:val="20"/>
          <w:lang w:val="ro-RO"/>
        </w:rPr>
        <w:t xml:space="preserve">Îndeplinirea cerinței prevăzute la alin. (1) se atestă printr-un document de absolvire a programului de pregătire.</w:t>
      </w:r>
    </w:p>
    <w:p>
      <w:pPr>
        <w:pStyle w:val="Normal"/>
        <w:keepNext w:val="true"/>
        <w:widowControl/>
        <w:tabs>
          <w:tab w:val="clear" w:pos="720"/>
          <w:tab w:val="left" w:pos="-336" w:leader="none"/>
          <w:tab w:val="left" w:pos="1104" w:leader="none"/>
          <w:tab w:val="left" w:pos="1824" w:leader="none"/>
          <w:tab w:val="left" w:pos="2544" w:leader="none"/>
          <w:tab w:val="left" w:pos="3264" w:leader="none"/>
          <w:tab w:val="left" w:pos="3984" w:leader="none"/>
          <w:tab w:val="left" w:pos="4704" w:leader="none"/>
          <w:tab w:val="left" w:pos="5424" w:leader="none"/>
          <w:tab w:val="left" w:pos="6144" w:leader="none"/>
          <w:tab w:val="left" w:pos="6864" w:leader="none"/>
          <w:tab w:val="left" w:pos="7584" w:leader="none"/>
          <w:tab w:val="left" w:pos="8304" w:leader="none"/>
          <w:tab w:val="left" w:pos="9024" w:leader="none"/>
          <w:tab w:val="left" w:pos="9360" w:leader="none"/>
          <w:tab w:val="left" w:pos="10080" w:leader="none"/>
        </w:tabs>
        <w:spacing w:before="240" w:after="120"/>
        <w:ind w:hanging="0"/>
        <w:jc w:val="center"/>
        <w:rPr>
          <w:rStyle w:val="tpa1"/>
          <w:rFonts w:ascii="Arial" w:hAnsi="Arial" w:cs="Arial"/>
          <w:b/>
          <w:sz w:val="18"/>
          <w:szCs w:val="18"/>
          <w:lang w:val="ro-RO"/>
        </w:rPr>
      </w:pPr>
      <w:r>
        <w:rPr>
          <w:rStyle w:val="tpa1"/>
          <w:rFonts w:eastAsia="Arial" w:cs="Arial" w:ascii="Arial" w:hAnsi="Arial"/>
          <w:b/>
          <w:color w:val="auto"/>
          <w:spacing w:val="0"/>
          <w:w w:val="100"/>
          <w:sz w:val="20"/>
          <w:szCs w:val="20"/>
          <w:lang w:val="ro-RO"/>
        </w:rPr>
        <w:t xml:space="preserve">Capitolul V. Informații </w:t>
      </w:r>
      <w:r>
        <w:rPr>
          <w:rStyle w:val="tpt1"/>
          <w:rFonts w:eastAsia="Arial" w:cs="Arial" w:ascii="Arial" w:hAnsi="Arial"/>
          <w:b/>
          <w:color w:val="auto"/>
          <w:spacing w:val="0"/>
          <w:w w:val="100"/>
          <w:sz w:val="20"/>
          <w:szCs w:val="20"/>
          <w:lang w:val="ro-RO"/>
        </w:rPr>
        <w:t>privind instruirea lucrătorilor în domeniul securității și sănătății în muncă</w:t>
      </w:r>
    </w:p>
    <w:p>
      <w:pPr>
        <w:pStyle w:val="Heading1"/>
        <w:widowControl/>
        <w:numPr>
          <w:ilvl w:val="0"/>
          <w:numId w:val="9"/>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Având în vedere prevederile Legii 319/2006 – Art. 7 alin. (1), lit. c), Art. 13 lit. e), H.G. 1425/2006 – Art. 15 alin. (1), punctul 3, Art. 92, s-au întocmit instrucțiunile proprii privind instruirea lucrătorilor</w:t>
      </w:r>
      <w:r>
        <w:rPr>
          <w:rStyle w:val="tpt1"/>
          <w:rFonts w:eastAsia="Arial" w:cs="Arial" w:ascii="Arial" w:hAnsi="Arial"/>
          <w:b/>
          <w:color w:val="auto"/>
          <w:spacing w:val="0"/>
          <w:w w:val="100"/>
          <w:sz w:val="20"/>
          <w:szCs w:val="20"/>
          <w:lang w:val="ro-RO"/>
        </w:rPr>
        <w:t xml:space="preserve"> în domeniul securității și sănătății în muncă,</w:t>
      </w:r>
      <w:r>
        <w:rPr>
          <w:rFonts w:eastAsia="Arial" w:cs="Arial" w:ascii="Arial" w:hAnsi="Arial"/>
          <w:b w:val="false"/>
          <w:color w:val="auto"/>
          <w:spacing w:val="0"/>
          <w:w w:val="100"/>
          <w:sz w:val="20"/>
          <w:szCs w:val="20"/>
          <w:lang w:val="ro-RO"/>
        </w:rPr>
        <w:t xml:space="preserve"> document cu caracter intern de reglementare a modului de instruire a lucrătorilor.</w:t>
      </w:r>
    </w:p>
    <w:p>
      <w:pPr>
        <w:pStyle w:val="Heading1"/>
        <w:widowControl/>
        <w:numPr>
          <w:ilvl w:val="0"/>
          <w:numId w:val="9"/>
        </w:numPr>
        <w:spacing w:before="120" w:after="60"/>
        <w:jc w:val="left"/>
        <w:rPr>
          <w:b w:val="false"/>
          <w:sz w:val="18"/>
          <w:szCs w:val="18"/>
          <w:lang w:val="ro-RO"/>
        </w:rPr>
      </w:pPr>
      <w:r>
        <w:rPr>
          <w:rFonts w:ascii="Arial" w:hAnsi="Arial" w:cs="Arial" w:eastAsia="Arial"/>
          <w:color w:val="auto"/>
          <w:sz w:val="20"/>
          <w:szCs w:val="20"/>
          <w:lang w:val="ro-RO"/>
        </w:rPr>
        <w:t xml:space="preserve">(Preluare din Legea 319/2006 – Art. 20 alin. (1), (2) și (4)) (1) Angajatorul trebuie să asigure condiții pentru ca fiecare lucrător să primească o instruire suficientă și adecvată în domeniul securității și sănătății în muncă, în special sub formă de informații și instrucțiuni de lucru, specifice locului de muncă și postului său:</w:t>
      </w:r>
    </w:p>
    <w:p>
      <w:pPr>
        <w:pStyle w:val="Normal"/>
        <w:widowControl/>
        <w:numPr>
          <w:ilvl w:val="1"/>
          <w:numId w:val="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la angajare;</w:t>
      </w:r>
    </w:p>
    <w:p>
      <w:pPr>
        <w:pStyle w:val="Normal"/>
        <w:widowControl/>
        <w:numPr>
          <w:ilvl w:val="1"/>
          <w:numId w:val="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la schimbarea locului de muncă sau la transfer;</w:t>
      </w:r>
    </w:p>
    <w:p>
      <w:pPr>
        <w:pStyle w:val="Normal"/>
        <w:widowControl/>
        <w:numPr>
          <w:ilvl w:val="1"/>
          <w:numId w:val="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la introducerea unui nou echipament de muncă sau a unor modificări ale echipamentului existent;</w:t>
      </w:r>
    </w:p>
    <w:p>
      <w:pPr>
        <w:pStyle w:val="Normal"/>
        <w:widowControl/>
        <w:numPr>
          <w:ilvl w:val="1"/>
          <w:numId w:val="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la introducerea oricărei noi tehnologii sau proceduri de lucru;</w:t>
      </w:r>
    </w:p>
    <w:p>
      <w:pPr>
        <w:pStyle w:val="Normal"/>
        <w:widowControl/>
        <w:numPr>
          <w:ilvl w:val="1"/>
          <w:numId w:val="9"/>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la executarea unor lucrări speciale.</w:t>
      </w:r>
    </w:p>
    <w:p>
      <w:pPr>
        <w:pStyle w:val="Normal"/>
        <w:keepNext/>
        <w:widowControl/>
        <w:spacing w:before="0" w:after="60"/>
        <w:ind w:hanging="0"/>
        <w:jc w:val="left"/>
        <w:rPr>
          <w:rFonts w:ascii="Arial" w:hAnsi="Arial" w:cs="Arial"/>
          <w:sz w:val="18"/>
          <w:szCs w:val="18"/>
          <w:lang w:val="it-IT"/>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Instruirea prevăzută la alin. (1) trebuie să fie:</w:t>
      </w:r>
    </w:p>
    <w:p>
      <w:pPr>
        <w:pStyle w:val="Normal"/>
        <w:widowControl/>
        <w:numPr>
          <w:ilvl w:val="0"/>
          <w:numId w:val="42"/>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adaptată evoluției riscurilor sau apariției unor noi riscuri;</w:t>
      </w:r>
    </w:p>
    <w:p>
      <w:pPr>
        <w:pStyle w:val="Normal"/>
        <w:widowControl/>
        <w:numPr>
          <w:ilvl w:val="0"/>
          <w:numId w:val="42"/>
        </w:numPr>
        <w:spacing w:before="0" w:after="120"/>
        <w:jc w:val="left"/>
        <w:rPr>
          <w:rFonts w:ascii="Arial" w:hAnsi="Arial" w:cs="Arial"/>
          <w:sz w:val="20"/>
          <w:szCs w:val="20"/>
          <w:lang w:val="it-IT"/>
        </w:rPr>
      </w:pPr>
      <w:r>
        <w:rPr>
          <w:rFonts w:eastAsia="Arial" w:cs="Arial" w:ascii="Arial" w:hAnsi="Arial"/>
          <w:color w:val="auto"/>
          <w:spacing w:val="0"/>
          <w:w w:val="100"/>
          <w:sz w:val="20"/>
          <w:szCs w:val="20"/>
          <w:lang w:val="ro-RO"/>
        </w:rPr>
        <w:t>periodică și ori de câte ori este necesar.</w:t>
      </w:r>
    </w:p>
    <w:p>
      <w:pPr>
        <w:pStyle w:val="Normal"/>
        <w:widowControl/>
        <w:spacing w:before="0" w:after="120"/>
        <w:ind w:hanging="0"/>
        <w:jc w:val="left"/>
        <w:rPr>
          <w:rFonts w:ascii="Arial" w:hAnsi="Arial" w:cs="Arial"/>
          <w:sz w:val="18"/>
          <w:szCs w:val="18"/>
          <w:lang w:val="it-IT"/>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Reprezentanții lucrătorilor cu răspunderi specifice în domeniul securității și sănătății în muncă au dreptul la instruire corespunzătoare.</w:t>
      </w:r>
    </w:p>
    <w:p>
      <w:pPr>
        <w:pStyle w:val="Heading1"/>
        <w:widowControl/>
        <w:numPr>
          <w:ilvl w:val="0"/>
          <w:numId w:val="9"/>
        </w:numPr>
        <w:spacing w:before="120" w:after="60"/>
        <w:jc w:val="left"/>
        <w:rPr>
          <w:b w:val="false"/>
          <w:sz w:val="18"/>
          <w:szCs w:val="18"/>
          <w:lang w:val="ro-RO"/>
        </w:rPr>
      </w:pPr>
      <w:r>
        <w:rPr>
          <w:rFonts w:ascii="Arial" w:hAnsi="Arial" w:cs="Arial" w:eastAsia="Arial"/>
          <w:color w:val="auto"/>
          <w:sz w:val="20"/>
          <w:szCs w:val="20"/>
          <w:lang w:val="ro-RO"/>
        </w:rPr>
        <w:t xml:space="preserve">(Preluare din Legea 319/2006 – Art. 21) (1) Instruirea prevăzută la art. 20 alin. (1), (2) și (4) din Legea 319/2006 nu poate fi realizată pe cheltuiala lucrătorilor și/ sau a reprezentanților acestora.</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Instruirea prevăzută la art. 20 alin. (1) și (2) din Legea 319/2006 trebuie să se realizeze în timpul programului de lucru.</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Instruirea prevăzută la art. 20 alin. (4) din Legea 319/2006 trebuie să se efectueze în timpul programului de lucru, fie în interiorul, fie în afara întreprinderii și/ sau unității, fie online.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(4)</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Dovada instruirii prevăzută la art. 20 din Legea 319/2006 poate fi realizată în format electronic sau pe suport hârtie în funcție de modalitatea aleasă de către angajator, stabilită prin regulamentul intern.</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(5)</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În cazul folosirii variantei în format electronic prevăzute la alin. (4), dovada instruirii trebuie să fie semnată cu semnătură electronică, semnătură electronică avansată sau semnătură electronică calificată.</w:t>
      </w:r>
    </w:p>
    <w:p>
      <w:pPr>
        <w:pStyle w:val="Heading1"/>
        <w:widowControl/>
        <w:numPr>
          <w:ilvl w:val="0"/>
          <w:numId w:val="9"/>
        </w:numPr>
        <w:spacing w:before="120" w:after="60"/>
        <w:jc w:val="left"/>
        <w:rPr>
          <w:rStyle w:val="tal1"/>
          <w:b/>
          <w:sz w:val="18"/>
          <w:szCs w:val="18"/>
          <w:lang w:val="ro-RO"/>
        </w:rPr>
      </w:pPr>
      <w:r>
        <w:rPr>
          <w:rFonts w:eastAsia="Arial" w:cs="Arial" w:ascii="Arial" w:hAnsi="Arial"/>
          <w:b w:val="false"/>
          <w:i/>
          <w:color w:val="auto"/>
          <w:spacing w:val="0"/>
          <w:w w:val="100"/>
          <w:sz w:val="20"/>
          <w:szCs w:val="20"/>
          <w:lang w:val="ro-RO"/>
        </w:rPr>
        <w:t xml:space="preserve">(Preluare din H.G. 1425/2006 – Art. 76 alin. (2))</w:t>
      </w:r>
      <w:r>
        <w:rPr>
          <w:rStyle w:val="tal1"/>
          <w:rFonts w:eastAsia="Arial" w:cs="Arial" w:ascii="Arial" w:hAnsi="Arial"/>
          <w:b/>
          <w:color w:val="auto"/>
          <w:spacing w:val="0"/>
          <w:w w:val="100"/>
          <w:sz w:val="20"/>
          <w:szCs w:val="20"/>
          <w:lang w:val="ro-RO"/>
        </w:rPr>
        <w:t xml:space="preserve"> Perioada în care se desfășoară instruirea lucrătorilor în domeniul securității și sănătății în muncă este considerată timp de muncă.</w:t>
      </w:r>
    </w:p>
    <w:p>
      <w:pPr>
        <w:pStyle w:val="Heading1"/>
        <w:widowControl/>
        <w:numPr>
          <w:ilvl w:val="0"/>
          <w:numId w:val="9"/>
        </w:numPr>
        <w:spacing w:before="120" w:after="60"/>
        <w:jc w:val="left"/>
        <w:rPr>
          <w:rStyle w:val="tpa1"/>
          <w:b/>
          <w:sz w:val="18"/>
          <w:szCs w:val="18"/>
          <w:lang w:val="ro-RO"/>
        </w:rPr>
      </w:pPr>
      <w:r>
        <w:rPr>
          <w:rFonts w:eastAsia="Arial" w:cs="Arial" w:ascii="Arial" w:hAnsi="Arial"/>
          <w:b w:val="false"/>
          <w:i/>
          <w:color w:val="auto"/>
          <w:spacing w:val="0"/>
          <w:w w:val="100"/>
          <w:sz w:val="20"/>
          <w:szCs w:val="20"/>
          <w:lang w:val="ro-RO"/>
        </w:rPr>
        <w:t xml:space="preserve">(Preluare din H.G. 1425/2006 – Art. 75)</w:t>
      </w:r>
      <w:bookmarkStart w:id="11" w:name="do|caV|si1|ar75|pa1"/>
      <w:r>
        <w:rPr>
          <w:rFonts w:eastAsia="Arial" w:cs="Arial" w:ascii="Arial" w:hAnsi="Arial"/>
          <w:b w:val="false"/>
          <w:i/>
          <w:color w:val="auto"/>
          <w:spacing w:val="0"/>
          <w:w w:val="100"/>
          <w:sz w:val="20"/>
          <w:szCs w:val="20"/>
          <w:lang w:val="ro-RO"/>
        </w:rPr>
        <w:t xml:space="preserve"> </w:t>
      </w:r>
      <w:bookmarkEnd w:id="11"/>
      <w:r>
        <w:rPr>
          <w:rStyle w:val="tpa1"/>
          <w:rFonts w:eastAsia="Arial" w:cs="Arial" w:ascii="Arial" w:hAnsi="Arial"/>
          <w:b/>
          <w:color w:val="auto"/>
          <w:spacing w:val="0"/>
          <w:w w:val="100"/>
          <w:sz w:val="20"/>
          <w:szCs w:val="20"/>
          <w:lang w:val="ro-RO"/>
        </w:rPr>
        <w:t xml:space="preserve">Instruirea lucrătorilor în domeniul securității și sănătății în muncă are ca scop însușirea cunoștințelor și formarea deprinderilor de securitate și sănătate în muncă.</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77)</w:t>
      </w:r>
      <w:r>
        <w:rPr>
          <w:rFonts w:eastAsia="Arial" w:cs="Arial" w:ascii="Arial" w:hAnsi="Arial"/>
          <w:b w:val="false"/>
          <w:color w:val="auto"/>
          <w:spacing w:val="0"/>
          <w:w w:val="100"/>
          <w:sz w:val="20"/>
          <w:szCs w:val="20"/>
          <w:lang w:val="ro-RO"/>
        </w:rPr>
        <w:t xml:space="preserve"> </w:t>
      </w:r>
      <w:r>
        <w:rPr>
          <w:rStyle w:val="tpa1"/>
          <w:rFonts w:eastAsia="Arial" w:cs="Arial" w:ascii="Arial" w:hAnsi="Arial"/>
          <w:b/>
          <w:color w:val="auto"/>
          <w:spacing w:val="0"/>
          <w:w w:val="100"/>
          <w:sz w:val="20"/>
          <w:szCs w:val="20"/>
          <w:lang w:val="ro-RO"/>
        </w:rPr>
        <w:t xml:space="preserve">Instruirea lucrătorilor în domeniul securității și sănătății în muncă cuprinde 3 faze:</w:t>
      </w:r>
    </w:p>
    <w:p>
      <w:pPr>
        <w:pStyle w:val="Normal"/>
        <w:widowControl/>
        <w:numPr>
          <w:ilvl w:val="2"/>
          <w:numId w:val="9"/>
        </w:numPr>
        <w:spacing w:before="0" w:after="40"/>
        <w:jc w:val="left"/>
        <w:rPr>
          <w:rFonts w:ascii="Arial" w:hAnsi="Arial" w:cs="Arial"/>
          <w:sz w:val="18"/>
          <w:szCs w:val="18"/>
          <w:lang w:val="es-ES"/>
        </w:rPr>
      </w:pPr>
      <w:r>
        <w:rPr>
          <w:rStyle w:val="tli1"/>
          <w:rFonts w:eastAsia="Arial" w:cs="Arial" w:ascii="Arial" w:hAnsi="Arial"/>
          <w:color w:val="auto"/>
          <w:spacing w:val="0"/>
          <w:w w:val="100"/>
          <w:sz w:val="20"/>
          <w:szCs w:val="20"/>
          <w:lang w:val="ro-RO"/>
        </w:rPr>
        <w:t>instruirea introductiv-generală;</w:t>
      </w:r>
    </w:p>
    <w:p>
      <w:pPr>
        <w:pStyle w:val="Normal"/>
        <w:widowControl/>
        <w:numPr>
          <w:ilvl w:val="2"/>
          <w:numId w:val="9"/>
        </w:numPr>
        <w:spacing w:before="0" w:after="40"/>
        <w:jc w:val="left"/>
        <w:rPr>
          <w:rFonts w:ascii="Arial" w:hAnsi="Arial" w:cs="Arial"/>
          <w:sz w:val="18"/>
          <w:szCs w:val="18"/>
          <w:lang w:val="es-ES"/>
        </w:rPr>
      </w:pPr>
      <w:r>
        <w:rPr>
          <w:rStyle w:val="tli1"/>
          <w:rFonts w:eastAsia="Arial" w:cs="Arial" w:ascii="Arial" w:hAnsi="Arial"/>
          <w:color w:val="auto"/>
          <w:spacing w:val="0"/>
          <w:w w:val="100"/>
          <w:sz w:val="20"/>
          <w:szCs w:val="20"/>
          <w:lang w:val="ro-RO"/>
        </w:rPr>
        <w:t>instruirea la locul de muncă;</w:t>
      </w:r>
    </w:p>
    <w:p>
      <w:pPr>
        <w:pStyle w:val="Normal"/>
        <w:widowControl/>
        <w:numPr>
          <w:ilvl w:val="2"/>
          <w:numId w:val="9"/>
        </w:numPr>
        <w:spacing w:before="0" w:after="120"/>
        <w:jc w:val="left"/>
        <w:rPr>
          <w:rFonts w:ascii="Arial" w:hAnsi="Arial" w:cs="Arial"/>
          <w:sz w:val="18"/>
          <w:szCs w:val="18"/>
          <w:lang w:val="es-ES"/>
        </w:rPr>
      </w:pPr>
      <w:r>
        <w:rPr>
          <w:rStyle w:val="tli1"/>
          <w:rFonts w:eastAsia="Arial" w:cs="Arial" w:ascii="Arial" w:hAnsi="Arial"/>
          <w:color w:val="auto"/>
          <w:spacing w:val="0"/>
          <w:w w:val="100"/>
          <w:sz w:val="20"/>
          <w:szCs w:val="20"/>
          <w:lang w:val="ro-RO"/>
        </w:rPr>
        <w:t>instruirea periodică.</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81)</w:t>
      </w:r>
      <w:r>
        <w:rPr>
          <w:rFonts w:eastAsia="Arial" w:cs="Arial" w:ascii="Arial" w:hAnsi="Arial"/>
          <w:b w:val="false"/>
          <w:color w:val="auto"/>
          <w:spacing w:val="0"/>
          <w:w w:val="100"/>
          <w:sz w:val="20"/>
          <w:szCs w:val="20"/>
          <w:lang w:val="ro-RO"/>
        </w:rPr>
        <w:t xml:space="preserve"> </w:t>
      </w:r>
      <w:r>
        <w:rPr>
          <w:rStyle w:val="al1"/>
          <w:rFonts w:eastAsia="Arial" w:cs="Arial" w:ascii="Arial" w:hAnsi="Arial"/>
          <w:b/>
          <w:bCs/>
          <w:color w:val="auto"/>
          <w:spacing w:val="0"/>
          <w:w w:val="100"/>
          <w:sz w:val="20"/>
          <w:szCs w:val="20"/>
          <w:lang w:val="ro-RO"/>
        </w:rPr>
        <w:t xml:space="preserve">(1)</w:t>
      </w:r>
      <w:r>
        <w:rPr>
          <w:rStyle w:val="al1"/>
          <w:rFonts w:eastAsia="Arial" w:cs="Arial" w:ascii="Arial" w:hAnsi="Arial"/>
          <w:b/>
          <w:bCs/>
          <w:color w:val="auto"/>
          <w:spacing w:val="0"/>
          <w:w w:val="100"/>
          <w:sz w:val="20"/>
          <w:szCs w:val="20"/>
          <w:lang w:val="ro-RO"/>
        </w:rPr>
        <w:t xml:space="preserve"> </w:t>
      </w:r>
      <w:r>
        <w:rPr>
          <w:rStyle w:val="tal1"/>
          <w:rFonts w:eastAsia="Arial" w:cs="Arial" w:ascii="Arial" w:hAnsi="Arial"/>
          <w:b/>
          <w:color w:val="auto"/>
          <w:spacing w:val="0"/>
          <w:w w:val="100"/>
          <w:sz w:val="20"/>
          <w:szCs w:val="20"/>
          <w:lang w:val="ro-RO"/>
        </w:rPr>
        <w:t xml:space="preserve">Rezultatul instruirii lucrătorilor în domeniul securității și sănătății în muncă se consemnează în mod obligatoriu în fișa de instruire individuală, întocmită pe suport hârtie sau în format electronic, conform informațiilor prevăzute în anexa nr. 11, cu indicarea materialului predat, a duratei și datei instruirii.</w:t>
      </w:r>
    </w:p>
    <w:p>
      <w:pPr>
        <w:pStyle w:val="Normal"/>
        <w:widowControl/>
        <w:spacing w:before="0" w:after="12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Completarea fișei de instruire individuală se va face în format electronic sau olograf, în funcție de varianta de instruire aleasă, imediat după verificarea instruirii.</w:t>
      </w:r>
    </w:p>
    <w:p>
      <w:pPr>
        <w:pStyle w:val="Normal"/>
        <w:widowControl/>
        <w:spacing w:before="0" w:after="12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După efectuarea instruirii, fișa de instruire individuală se semnează de către lucrătorul instruit și de către persoanele care au efectuat și au verificat instruirea.</w:t>
      </w:r>
    </w:p>
    <w:p>
      <w:pPr>
        <w:pStyle w:val="Normal"/>
        <w:widowControl/>
        <w:spacing w:before="0" w:after="12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 xml:space="preserve">(3</w:t>
      </w:r>
      <w:r>
        <w:rPr>
          <w:rStyle w:val="al1"/>
          <w:rFonts w:eastAsia="Arial" w:cs="Arial" w:ascii="Arial" w:hAnsi="Arial"/>
          <w:color w:val="auto"/>
          <w:spacing w:val="0"/>
          <w:w w:val="100"/>
          <w:sz w:val="20"/>
          <w:szCs w:val="20"/>
          <w:vertAlign w:val="superscript"/>
          <w:lang w:val="ro-RO"/>
        </w:rPr>
        <w:t xml:space="preserve">1</w:t>
      </w:r>
      <w:r>
        <w:rPr>
          <w:rStyle w:val="al1"/>
          <w:rFonts w:eastAsia="Arial" w:cs="Arial" w:ascii="Arial" w:hAnsi="Arial"/>
          <w:color w:val="auto"/>
          <w:spacing w:val="0"/>
          <w:w w:val="100"/>
          <w:sz w:val="20"/>
          <w:szCs w:val="20"/>
          <w:lang w:val="ro-RO"/>
        </w:rPr>
        <w:t xml:space="preserve">)</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În funcție de modalitatea stabilită de angajator prin regulamentul intern, fișa de instruire individuală se semnează olograf sau cu semnătură electronică, semnătură electronică avansată sau semnătură electronică calificată.</w:t>
      </w:r>
    </w:p>
    <w:p>
      <w:pPr>
        <w:pStyle w:val="Normal"/>
        <w:widowControl/>
        <w:spacing w:before="0" w:after="12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 xml:space="preserve">(3</w:t>
      </w:r>
      <w:r>
        <w:rPr>
          <w:rStyle w:val="al1"/>
          <w:rFonts w:eastAsia="Arial" w:cs="Arial" w:ascii="Arial" w:hAnsi="Arial"/>
          <w:color w:val="auto"/>
          <w:spacing w:val="0"/>
          <w:w w:val="100"/>
          <w:sz w:val="20"/>
          <w:szCs w:val="20"/>
          <w:vertAlign w:val="superscript"/>
          <w:lang w:val="ro-RO"/>
        </w:rPr>
        <w:t xml:space="preserve">2</w:t>
      </w:r>
      <w:r>
        <w:rPr>
          <w:rStyle w:val="al1"/>
          <w:rFonts w:eastAsia="Arial" w:cs="Arial" w:ascii="Arial" w:hAnsi="Arial"/>
          <w:color w:val="auto"/>
          <w:spacing w:val="0"/>
          <w:w w:val="100"/>
          <w:sz w:val="20"/>
          <w:szCs w:val="20"/>
          <w:lang w:val="ro-RO"/>
        </w:rPr>
        <w:t xml:space="preserve">)</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În conformitate cu prevederile art. 17 alin. (3) lit. o) și alin. (4) din Legea 53/2003 – Codul muncii, republicată, cu modificările și completările ulterioare, procedurile privind utilizarea semnăturii electronice, semnăturii electronice avansate sau semnăturii electronice calificate pentru semnarea fișei de instruire individuală se regăsesc în contractul individual de muncă.</w:t>
      </w:r>
    </w:p>
    <w:p>
      <w:pPr>
        <w:pStyle w:val="Normal"/>
        <w:widowControl/>
        <w:spacing w:before="0" w:after="12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 xml:space="preserve">(3</w:t>
      </w:r>
      <w:r>
        <w:rPr>
          <w:rStyle w:val="al1"/>
          <w:rFonts w:eastAsia="Arial" w:cs="Arial" w:ascii="Arial" w:hAnsi="Arial"/>
          <w:color w:val="auto"/>
          <w:spacing w:val="0"/>
          <w:w w:val="100"/>
          <w:sz w:val="20"/>
          <w:szCs w:val="20"/>
          <w:vertAlign w:val="superscript"/>
          <w:lang w:val="ro-RO"/>
        </w:rPr>
        <w:t xml:space="preserve">3</w:t>
      </w:r>
      <w:r>
        <w:rPr>
          <w:rStyle w:val="al1"/>
          <w:rFonts w:eastAsia="Arial" w:cs="Arial" w:ascii="Arial" w:hAnsi="Arial"/>
          <w:color w:val="auto"/>
          <w:spacing w:val="0"/>
          <w:w w:val="100"/>
          <w:sz w:val="20"/>
          <w:szCs w:val="20"/>
          <w:lang w:val="ro-RO"/>
        </w:rPr>
        <w:t xml:space="preserve">)</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Angajatorul are obligația de a asigura trasabilitatea și integritatea materialelor utilizate în cadrul fiecărei instruiri în format electronic a lucrătorului.</w:t>
      </w:r>
    </w:p>
    <w:p>
      <w:pPr>
        <w:pStyle w:val="Normal"/>
        <w:widowControl/>
        <w:spacing w:before="0" w:after="120"/>
        <w:ind w:hanging="0"/>
        <w:jc w:val="left"/>
        <w:rPr>
          <w:rStyle w:val="tal1"/>
          <w:rFonts w:ascii="Arial" w:hAnsi="Arial" w:cs="Arial"/>
          <w:sz w:val="18"/>
          <w:szCs w:val="18"/>
          <w:lang w:val="ro-RO"/>
        </w:rPr>
      </w:pPr>
      <w:r>
        <w:rPr>
          <w:rStyle w:val="al1"/>
          <w:rFonts w:eastAsia="Arial" w:cs="Arial" w:ascii="Arial" w:hAnsi="Arial"/>
          <w:color w:val="auto"/>
          <w:spacing w:val="0"/>
          <w:w w:val="100"/>
          <w:sz w:val="20"/>
          <w:szCs w:val="20"/>
          <w:lang w:val="ro-RO"/>
        </w:rPr>
        <w:t>(4)</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Fișa de instruire individuală va fi păstrată de către conducătorul locului de muncă, pe suport hârtie sau în format electronic, după caz, și va fi însoțită de o copie a ultimei fișe de aptitudini completate de către medicul de medicina muncii.</w:t>
      </w:r>
    </w:p>
    <w:p>
      <w:pPr>
        <w:pStyle w:val="Normal"/>
        <w:widowControl/>
        <w:spacing w:before="0" w:after="120"/>
        <w:ind w:hanging="0"/>
        <w:jc w:val="left"/>
        <w:rPr>
          <w:rStyle w:val="tal1"/>
          <w:rFonts w:ascii="Arial" w:hAnsi="Arial" w:cs="Arial"/>
          <w:sz w:val="18"/>
          <w:szCs w:val="18"/>
          <w:lang w:val="ro-RO"/>
        </w:rPr>
      </w:pPr>
      <w:r>
        <w:rPr>
          <w:rStyle w:val="al1"/>
          <w:rFonts w:eastAsia="Arial" w:cs="Arial" w:ascii="Arial" w:hAnsi="Arial"/>
          <w:color w:val="auto"/>
          <w:spacing w:val="0"/>
          <w:w w:val="100"/>
          <w:sz w:val="20"/>
          <w:szCs w:val="20"/>
          <w:lang w:val="ro-RO"/>
        </w:rPr>
        <w:t xml:space="preserve">(5)</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Fișa de instruire individuală se păstrează în întreprindere/ unitate, pe suport hârtie sau în format electronic, după caz, de la angajare până la data încetării raporturilor de muncă.</w:t>
      </w:r>
    </w:p>
    <w:p>
      <w:pPr>
        <w:pStyle w:val="Heading1"/>
        <w:keepNext/>
        <w:widowControl/>
        <w:numPr>
          <w:ilvl w:val="0"/>
          <w:numId w:val="9"/>
        </w:numPr>
        <w:spacing w:before="120" w:after="60"/>
        <w:jc w:val="left"/>
        <w:rPr>
          <w:rStyle w:val="tli1"/>
          <w:b/>
          <w:sz w:val="18"/>
          <w:szCs w:val="18"/>
          <w:lang w:val="ro-RO"/>
        </w:rPr>
      </w:pPr>
      <w:r>
        <w:rPr>
          <w:rFonts w:eastAsia="Arial" w:cs="Arial" w:ascii="Arial" w:hAnsi="Arial"/>
          <w:b w:val="false"/>
          <w:i/>
          <w:color w:val="auto"/>
          <w:spacing w:val="0"/>
          <w:w w:val="100"/>
          <w:sz w:val="20"/>
          <w:szCs w:val="20"/>
          <w:lang w:val="ro-RO"/>
        </w:rPr>
        <w:t xml:space="preserve">(Conform prevederilor H.G. 1425/2006 – Art. 85)</w:t>
      </w:r>
      <w:r>
        <w:rPr>
          <w:rFonts w:eastAsia="Arial" w:cs="Arial" w:ascii="Arial" w:hAnsi="Arial"/>
          <w:b w:val="false"/>
          <w:color w:val="auto"/>
          <w:spacing w:val="0"/>
          <w:w w:val="100"/>
          <w:sz w:val="20"/>
          <w:szCs w:val="20"/>
          <w:lang w:val="ro-RO"/>
        </w:rPr>
        <w:t xml:space="preserve"> </w:t>
      </w:r>
      <w:r>
        <w:rPr>
          <w:rStyle w:val="tpa1"/>
          <w:rFonts w:eastAsia="Arial" w:cs="Arial" w:ascii="Arial" w:hAnsi="Arial"/>
          <w:b/>
          <w:color w:val="auto"/>
          <w:spacing w:val="0"/>
          <w:w w:val="100"/>
          <w:sz w:val="20"/>
          <w:szCs w:val="20"/>
          <w:lang w:val="ro-RO"/>
        </w:rPr>
        <w:t xml:space="preserve">Instruirea introductiv-generală se face de către specialiștii în domeniul securității și sănătății în muncă din cadrul </w:t>
      </w:r>
      <w:r>
        <w:rPr>
          <w:rStyle w:val="tli1"/>
          <w:rFonts w:eastAsia="Arial" w:cs="Arial" w:ascii="Arial" w:hAnsi="Arial"/>
          <w:b/>
          <w:color w:val="auto"/>
          <w:spacing w:val="0"/>
          <w:w w:val="100"/>
          <w:sz w:val="20"/>
          <w:szCs w:val="20"/>
          <w:lang w:val="ro-RO"/>
        </w:rPr>
        <w:t xml:space="preserve">serviciului extern de prevenire și protecție, activitate desfășurată prin contractul de prestări servicii sau, dacă este posibil, și de către persoanele desemnate în acest sens prin decizie internă și prin fișa postului.</w:t>
      </w:r>
    </w:p>
    <w:p>
      <w:pPr>
        <w:pStyle w:val="Heading1"/>
        <w:keepNext/>
        <w:widowControl/>
        <w:numPr>
          <w:ilvl w:val="0"/>
          <w:numId w:val="9"/>
        </w:numPr>
        <w:spacing w:before="120" w:after="60"/>
        <w:jc w:val="left"/>
        <w:rPr>
          <w:rStyle w:val="tal1"/>
          <w:b/>
          <w:i/>
          <w:sz w:val="18"/>
          <w:szCs w:val="18"/>
          <w:lang w:val="ro-RO"/>
        </w:rPr>
      </w:pPr>
      <w:r>
        <w:rPr>
          <w:rFonts w:eastAsia="Arial" w:cs="Arial" w:ascii="Arial" w:hAnsi="Arial"/>
          <w:b w:val="false"/>
          <w:i/>
          <w:color w:val="auto"/>
          <w:spacing w:val="0"/>
          <w:w w:val="100"/>
          <w:sz w:val="20"/>
          <w:szCs w:val="20"/>
          <w:lang w:val="ro-RO"/>
        </w:rPr>
        <w:t xml:space="preserve">(Preluare din H.G. 1425/2006 – Art. 86)</w:t>
      </w:r>
      <w:r>
        <w:rPr>
          <w:rFonts w:eastAsia="Arial" w:cs="Arial" w:ascii="Arial" w:hAnsi="Arial"/>
          <w:b w:val="false"/>
          <w:color w:val="auto"/>
          <w:spacing w:val="0"/>
          <w:w w:val="100"/>
          <w:sz w:val="20"/>
          <w:szCs w:val="20"/>
          <w:lang w:val="ro-RO"/>
        </w:rPr>
        <w:t xml:space="preserve"> </w:t>
      </w:r>
      <w:r>
        <w:rPr>
          <w:rStyle w:val="tpa1"/>
          <w:rFonts w:eastAsia="Arial" w:cs="Arial" w:ascii="Arial" w:hAnsi="Arial"/>
          <w:b/>
          <w:color w:val="auto"/>
          <w:spacing w:val="0"/>
          <w:w w:val="100"/>
          <w:sz w:val="20"/>
          <w:szCs w:val="20"/>
          <w:lang w:val="ro-RO"/>
        </w:rPr>
        <w:t xml:space="preserve">Instruirea introductiv-generală se face individual sau în grupuri de cel mult 20 de persoane.</w:t>
      </w:r>
    </w:p>
    <w:p>
      <w:pPr>
        <w:pStyle w:val="Heading1"/>
        <w:keepNext w:val="false"/>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87 alin. (1) și (3))</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D</w:t>
      </w:r>
      <w:r>
        <w:rPr>
          <w:rFonts w:eastAsia="Arial" w:cs="Arial" w:ascii="Arial" w:hAnsi="Arial"/>
          <w:b w:val="false"/>
          <w:color w:val="auto"/>
          <w:spacing w:val="0"/>
          <w:w w:val="100"/>
          <w:sz w:val="20"/>
          <w:szCs w:val="20"/>
          <w:lang w:val="ro-RO"/>
        </w:rPr>
        <w:t xml:space="preserve">urata instruirii introductiv-generale depinde de specificul activității și de riscurile pentru securitate și sănătate în muncă, precum și de măsurile și activitățile de prevenire și protecție la nivelul întreprinderii și/ sau al unității, în general.</w:t>
      </w:r>
    </w:p>
    <w:p>
      <w:pPr>
        <w:pStyle w:val="Heading1"/>
        <w:widowControl/>
        <w:numPr>
          <w:ilvl w:val="0"/>
          <w:numId w:val="1"/>
        </w:numPr>
        <w:spacing w:before="0" w:after="120"/>
        <w:ind w:hanging="0" w:left="0"/>
        <w:jc w:val="left"/>
        <w:rPr>
          <w:rStyle w:val="tal1"/>
          <w:rFonts w:cs="Arial"/>
          <w:b/>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Persoanelor prevăzute la art. 82 li se vor prezenta succint activitățile, riscurile și măsurile de prevenire și protecție din întreprindere și/ sau unitate.</w:t>
      </w:r>
    </w:p>
    <w:p>
      <w:pPr>
        <w:pStyle w:val="Heading1"/>
        <w:keepNext w:val="false"/>
        <w:widowControl/>
        <w:numPr>
          <w:ilvl w:val="0"/>
          <w:numId w:val="9"/>
        </w:numPr>
        <w:spacing w:before="120" w:after="60"/>
        <w:jc w:val="left"/>
        <w:rPr>
          <w:b w:val="false"/>
          <w:sz w:val="18"/>
          <w:szCs w:val="18"/>
          <w:lang w:val="ro-RO"/>
        </w:rPr>
      </w:pPr>
      <w:r>
        <w:rPr>
          <w:rStyle w:val="tal1"/>
          <w:rFonts w:eastAsia="Arial" w:cs="Arial" w:ascii="Arial" w:hAnsi="Arial"/>
          <w:b/>
          <w:color w:val="auto"/>
          <w:spacing w:val="0"/>
          <w:w w:val="100"/>
          <w:sz w:val="20"/>
          <w:szCs w:val="20"/>
          <w:lang w:val="ro-RO"/>
        </w:rPr>
        <w:t xml:space="preserve">Materialul pentru instruirea introductiv-generală este întocmit de către serviciul extern de prevenire și protecție și aprobat de către angajator </w:t>
      </w:r>
      <w:r>
        <w:rPr>
          <w:rFonts w:eastAsia="Arial" w:cs="Arial" w:ascii="Arial" w:hAnsi="Arial"/>
          <w:b w:val="false"/>
          <w:color w:val="auto"/>
          <w:spacing w:val="0"/>
          <w:w w:val="100"/>
          <w:sz w:val="20"/>
          <w:szCs w:val="20"/>
          <w:lang w:val="ro-RO"/>
        </w:rPr>
        <w:t xml:space="preserve">și are denumirea de « Material de instruire în domeniul securității și sănătății în muncă pentru instruirea introductiv-generală », fiind codificat MISSMIG.</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91)</w:t>
      </w:r>
      <w:r>
        <w:rPr>
          <w:rFonts w:eastAsia="Arial" w:cs="Arial" w:ascii="Arial" w:hAnsi="Arial"/>
          <w:b w:val="false"/>
          <w:color w:val="auto"/>
          <w:spacing w:val="0"/>
          <w:w w:val="100"/>
          <w:sz w:val="20"/>
          <w:szCs w:val="20"/>
          <w:lang w:val="ro-RO"/>
        </w:rPr>
        <w:t xml:space="preserve"> </w:t>
      </w:r>
      <w:bookmarkStart w:id="12" w:name="do|caV|si3|ar91|al1"/>
      <w:bookmarkEnd w:id="12"/>
      <w:r>
        <w:rPr>
          <w:rStyle w:val="al1"/>
          <w:rFonts w:eastAsia="Arial" w:cs="Arial" w:ascii="Arial" w:hAnsi="Arial"/>
          <w:b w:val="false"/>
          <w:bCs/>
          <w:color w:val="auto"/>
          <w:spacing w:val="0"/>
          <w:w w:val="100"/>
          <w:sz w:val="20"/>
          <w:szCs w:val="20"/>
          <w:lang w:val="ro-RO"/>
        </w:rPr>
        <w:t xml:space="preserve">(1)</w:t>
      </w:r>
      <w:r>
        <w:rPr>
          <w:rStyle w:val="al1"/>
          <w:rFonts w:eastAsia="Arial" w:cs="Arial" w:ascii="Arial" w:hAnsi="Arial"/>
          <w:b/>
          <w:bCs/>
          <w:color w:val="auto"/>
          <w:spacing w:val="0"/>
          <w:w w:val="100"/>
          <w:sz w:val="20"/>
          <w:szCs w:val="20"/>
          <w:lang w:val="ro-RO"/>
        </w:rPr>
        <w:t xml:space="preserve"> </w:t>
      </w:r>
      <w:r>
        <w:rPr>
          <w:rStyle w:val="tal1"/>
          <w:rFonts w:eastAsia="Arial" w:cs="Arial" w:ascii="Arial" w:hAnsi="Arial"/>
          <w:b/>
          <w:color w:val="auto"/>
          <w:spacing w:val="0"/>
          <w:w w:val="100"/>
          <w:sz w:val="20"/>
          <w:szCs w:val="20"/>
          <w:lang w:val="ro-RO"/>
        </w:rPr>
        <w:t xml:space="preserve">Instruirea la locul de muncă se face de către conducătorul direct al fiecărui loc de muncă, în grupe de maximum 20 de persoane.</w:t>
      </w:r>
    </w:p>
    <w:p>
      <w:pPr>
        <w:pStyle w:val="Heading1"/>
        <w:widowControl/>
        <w:numPr>
          <w:ilvl w:val="0"/>
          <w:numId w:val="9"/>
        </w:numPr>
        <w:spacing w:before="120" w:after="60"/>
        <w:jc w:val="left"/>
        <w:rPr>
          <w:rStyle w:val="spar"/>
          <w:b/>
          <w:i/>
          <w:sz w:val="18"/>
          <w:szCs w:val="18"/>
          <w:lang w:val="ro-RO"/>
        </w:rPr>
      </w:pPr>
      <w:r>
        <w:rPr>
          <w:rFonts w:eastAsia="Arial" w:cs="Arial" w:ascii="Arial" w:hAnsi="Arial"/>
          <w:b w:val="false"/>
          <w:i/>
          <w:color w:val="auto"/>
          <w:spacing w:val="0"/>
          <w:w w:val="100"/>
          <w:sz w:val="20"/>
          <w:szCs w:val="20"/>
          <w:lang w:val="ro-RO"/>
        </w:rPr>
        <w:t xml:space="preserve">(Preluare din H.G. 1425/2006 – Art. 92 – conf. H.G. 767/2016 – pct. 4)</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(2)</w:t>
      </w:r>
      <w:r>
        <w:rPr>
          <w:rFonts w:eastAsia="Arial" w:cs="Arial" w:ascii="Arial" w:hAnsi="Arial"/>
          <w:b w:val="false"/>
          <w:color w:val="auto"/>
          <w:spacing w:val="0"/>
          <w:w w:val="100"/>
          <w:sz w:val="20"/>
          <w:szCs w:val="20"/>
          <w:lang w:val="ro-RO"/>
        </w:rPr>
        <w:t xml:space="preserve"> </w:t>
      </w:r>
      <w:r>
        <w:rPr>
          <w:rStyle w:val="spar"/>
          <w:rFonts w:eastAsia="Arial" w:cs="Arial" w:ascii="Arial" w:hAnsi="Arial"/>
          <w:b/>
          <w:color w:val="auto"/>
          <w:spacing w:val="0"/>
          <w:w w:val="100"/>
          <w:sz w:val="20"/>
          <w:szCs w:val="20"/>
          <w:shd w:fill="FFFFFF" w:val="clear"/>
          <w:lang w:val="ro-RO"/>
        </w:rPr>
        <w:t xml:space="preserve">Durata instruirii la locul de muncă se stabilește de către angajator, împreună cu: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conducătorul locului de muncă respectiv; sau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lucrătorul desemnat; sau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serviciul intern de prevenire și protecție; sau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serviciul extern de prevenire și protecție.</w:t>
      </w:r>
    </w:p>
    <w:p>
      <w:pPr>
        <w:pStyle w:val="Heading1"/>
        <w:keepNext/>
        <w:widowControl/>
        <w:numPr>
          <w:ilvl w:val="0"/>
          <w:numId w:val="9"/>
        </w:numPr>
        <w:spacing w:before="120" w:after="60"/>
        <w:jc w:val="left"/>
        <w:rPr>
          <w:b w:val="false"/>
          <w:sz w:val="18"/>
          <w:szCs w:val="18"/>
          <w:lang w:val="ro-RO"/>
        </w:rPr>
      </w:pPr>
      <w:r>
        <w:rPr>
          <w:rStyle w:val="tal1"/>
          <w:rFonts w:eastAsia="Arial" w:cs="Arial" w:ascii="Arial" w:hAnsi="Arial"/>
          <w:b/>
          <w:color w:val="auto"/>
          <w:spacing w:val="0"/>
          <w:w w:val="100"/>
          <w:sz w:val="20"/>
          <w:szCs w:val="20"/>
          <w:lang w:val="ro-RO"/>
        </w:rPr>
        <w:t xml:space="preserve">Materialul pentru instruirea la locul de muncă este întocmit de către serviciul extern de prevenire și protecție și aprobat de către angajator </w:t>
      </w:r>
      <w:r>
        <w:rPr>
          <w:rFonts w:eastAsia="Arial" w:cs="Arial" w:ascii="Arial" w:hAnsi="Arial"/>
          <w:b w:val="false"/>
          <w:color w:val="auto"/>
          <w:spacing w:val="0"/>
          <w:w w:val="100"/>
          <w:sz w:val="20"/>
          <w:szCs w:val="20"/>
          <w:lang w:val="ro-RO"/>
        </w:rPr>
        <w:t xml:space="preserve">și poartă denumirea de « Instrucțiuni proprii în domeniul securității și sănătății în muncă »</w:t>
      </w:r>
      <w:r>
        <w:rPr>
          <w:rFonts w:eastAsia="Arial" w:cs="Arial" w:ascii="Arial" w:hAnsi="Arial"/>
          <w:b w:val="false"/>
          <w:color w:val="auto"/>
          <w:spacing w:val="0"/>
          <w:w w:val="100"/>
          <w:sz w:val="20"/>
          <w:szCs w:val="20"/>
          <w:lang w:val="ro-RO"/>
        </w:rPr>
        <w:t xml:space="preserve">, fiind codificat IPSSM.</w:t>
      </w:r>
    </w:p>
    <w:p>
      <w:pPr>
        <w:pStyle w:val="Heading1"/>
        <w:keepNext w:val="false"/>
        <w:widowControl/>
        <w:numPr>
          <w:ilvl w:val="0"/>
          <w:numId w:val="9"/>
        </w:numPr>
        <w:spacing w:before="120" w:after="60"/>
        <w:jc w:val="left"/>
        <w:rPr>
          <w:rStyle w:val="tal1"/>
          <w:b/>
          <w:sz w:val="18"/>
          <w:szCs w:val="18"/>
          <w:lang w:val="ro-RO"/>
        </w:rPr>
      </w:pPr>
      <w:r>
        <w:rPr>
          <w:rFonts w:eastAsia="Arial" w:cs="Arial" w:ascii="Arial" w:hAnsi="Arial"/>
          <w:b w:val="false"/>
          <w:i/>
          <w:color w:val="auto"/>
          <w:spacing w:val="0"/>
          <w:w w:val="100"/>
          <w:sz w:val="20"/>
          <w:szCs w:val="20"/>
          <w:lang w:val="ro-RO"/>
        </w:rPr>
        <w:t xml:space="preserve">(Preluare din H.G. 1425/2006 – Art. 96)</w:t>
      </w:r>
      <w:r>
        <w:rPr>
          <w:rFonts w:eastAsia="Arial" w:cs="Arial" w:ascii="Arial" w:hAnsi="Arial"/>
          <w:b w:val="false"/>
          <w:color w:val="auto"/>
          <w:spacing w:val="0"/>
          <w:w w:val="100"/>
          <w:sz w:val="20"/>
          <w:szCs w:val="20"/>
          <w:lang w:val="ro-RO"/>
        </w:rPr>
        <w:t xml:space="preserve"> </w:t>
      </w:r>
      <w:r>
        <w:rPr>
          <w:rStyle w:val="al1"/>
          <w:rFonts w:eastAsia="Arial" w:cs="Arial" w:ascii="Arial" w:hAnsi="Arial"/>
          <w:b w:val="false"/>
          <w:bCs/>
          <w:color w:val="auto"/>
          <w:spacing w:val="0"/>
          <w:w w:val="100"/>
          <w:sz w:val="20"/>
          <w:szCs w:val="20"/>
          <w:lang w:val="ro-RO"/>
        </w:rPr>
        <w:t xml:space="preserve">(1)</w:t>
      </w:r>
      <w:r>
        <w:rPr>
          <w:rStyle w:val="al1"/>
          <w:rFonts w:eastAsia="Arial" w:cs="Arial" w:ascii="Arial" w:hAnsi="Arial"/>
          <w:b/>
          <w:bCs/>
          <w:color w:val="auto"/>
          <w:spacing w:val="0"/>
          <w:w w:val="100"/>
          <w:sz w:val="20"/>
          <w:szCs w:val="20"/>
          <w:lang w:val="ro-RO"/>
        </w:rPr>
        <w:t xml:space="preserve"> </w:t>
      </w:r>
      <w:r>
        <w:rPr>
          <w:rStyle w:val="tal1"/>
          <w:rFonts w:eastAsia="Arial" w:cs="Arial" w:ascii="Arial" w:hAnsi="Arial"/>
          <w:b/>
          <w:color w:val="auto"/>
          <w:spacing w:val="0"/>
          <w:w w:val="100"/>
          <w:sz w:val="20"/>
          <w:szCs w:val="20"/>
          <w:lang w:val="ro-RO"/>
        </w:rPr>
        <w:t xml:space="preserve">Instruirea periodică se efectuează de către conducătorul locului de muncă.</w:t>
      </w:r>
    </w:p>
    <w:p>
      <w:pPr>
        <w:pStyle w:val="Heading1"/>
        <w:widowControl/>
        <w:numPr>
          <w:ilvl w:val="0"/>
          <w:numId w:val="1"/>
        </w:numPr>
        <w:spacing w:before="0" w:after="120"/>
        <w:ind w:hanging="0" w:left="0"/>
        <w:jc w:val="left"/>
        <w:rPr>
          <w:rStyle w:val="tal1"/>
          <w:b/>
          <w:sz w:val="18"/>
          <w:szCs w:val="18"/>
          <w:shd w:fill="FFFFFF" w:val="clear"/>
        </w:rPr>
      </w:pPr>
      <w:r>
        <w:rPr>
          <w:rFonts w:eastAsia="Arial" w:cs="Arial" w:ascii="Arial" w:hAnsi="Arial"/>
          <w:b w:val="false"/>
          <w:i/>
          <w:color w:val="auto"/>
          <w:spacing w:val="0"/>
          <w:w w:val="100"/>
          <w:sz w:val="20"/>
          <w:szCs w:val="20"/>
          <w:lang w:val="ro-RO"/>
        </w:rPr>
        <w:t xml:space="preserve">(Preluare din H.G. 767/2016 – pct. 5)</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(2)</w:t>
      </w:r>
      <w:r>
        <w:rPr>
          <w:rFonts w:eastAsia="Arial" w:cs="Arial" w:ascii="Arial" w:hAnsi="Arial"/>
          <w:b w:val="false"/>
          <w:color w:val="auto"/>
          <w:spacing w:val="0"/>
          <w:w w:val="100"/>
          <w:sz w:val="20"/>
          <w:szCs w:val="20"/>
          <w:lang w:val="ro-RO"/>
        </w:rPr>
        <w:t xml:space="preserve"> I</w:t>
      </w:r>
      <w:r>
        <w:rPr>
          <w:rFonts w:eastAsia="Arial" w:cs="Arial" w:ascii="Arial" w:hAnsi="Arial"/>
          <w:b w:val="false"/>
          <w:color w:val="auto"/>
          <w:spacing w:val="0"/>
          <w:w w:val="100"/>
          <w:sz w:val="20"/>
          <w:szCs w:val="20"/>
          <w:shd w:fill="FFFFFF" w:val="clear"/>
          <w:lang w:val="ro-RO"/>
        </w:rPr>
        <w:t xml:space="preserve">ntervalul dintre două instruiri periodice și periodicitatea verificării instruirii vor fi stabilite prin programul de instruire-testare elaborat la nivelul întreprinderii și/ sau unității potrivit prevederilor art. 15 alin. (1) pct. 8 din H.G. 1425/2006, în funcție de condițiile locului de muncă și/ sau postului de lucru.</w:t>
      </w:r>
    </w:p>
    <w:p>
      <w:pPr>
        <w:pStyle w:val="Heading1"/>
        <w:widowControl/>
        <w:numPr>
          <w:ilvl w:val="0"/>
          <w:numId w:val="9"/>
        </w:numPr>
        <w:spacing w:before="120" w:after="60"/>
        <w:jc w:val="left"/>
        <w:rPr>
          <w:b w:val="false"/>
          <w:i/>
          <w:sz w:val="18"/>
          <w:szCs w:val="18"/>
          <w:lang w:val="ro-RO"/>
        </w:rPr>
      </w:pPr>
      <w:r>
        <w:rPr>
          <w:rStyle w:val="tal1"/>
          <w:rFonts w:eastAsia="Arial" w:cs="Arial" w:ascii="Arial" w:hAnsi="Arial"/>
          <w:b/>
          <w:color w:val="auto"/>
          <w:spacing w:val="0"/>
          <w:w w:val="100"/>
          <w:sz w:val="20"/>
          <w:szCs w:val="20"/>
          <w:lang w:val="ro-RO"/>
        </w:rPr>
        <w:t>Instruirea la locul de muncă se va efectua pe baza tematicilor întocmite de către serviciul extern de prevenire și protecție și aprobate de către angajator, care vor fi păstrate la persoana care efectuează instruirea.</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98)</w:t>
      </w:r>
      <w:r>
        <w:rPr>
          <w:rFonts w:eastAsia="Arial" w:cs="Arial" w:ascii="Arial" w:hAnsi="Arial"/>
          <w:b w:val="false"/>
          <w:color w:val="auto"/>
          <w:spacing w:val="0"/>
          <w:w w:val="100"/>
          <w:sz w:val="20"/>
          <w:szCs w:val="20"/>
          <w:lang w:val="ro-RO"/>
        </w:rPr>
        <w:t xml:space="preserve"> </w:t>
      </w:r>
      <w:r>
        <w:rPr>
          <w:rStyle w:val="tpa1"/>
          <w:rFonts w:eastAsia="Arial" w:cs="Arial" w:ascii="Arial" w:hAnsi="Arial"/>
          <w:b/>
          <w:color w:val="auto"/>
          <w:spacing w:val="0"/>
          <w:w w:val="100"/>
          <w:sz w:val="20"/>
          <w:szCs w:val="20"/>
          <w:lang w:val="ro-RO"/>
        </w:rPr>
        <w:t xml:space="preserve">Instruirea periodică se face suplimentar celei programate în următoarele cazuri:</w:t>
      </w:r>
    </w:p>
    <w:p>
      <w:pPr>
        <w:pStyle w:val="Normal"/>
        <w:widowControl/>
        <w:numPr>
          <w:ilvl w:val="2"/>
          <w:numId w:val="9"/>
        </w:numPr>
        <w:spacing w:before="0" w:after="40"/>
        <w:jc w:val="left"/>
        <w:rPr>
          <w:rFonts w:ascii="Arial" w:hAnsi="Arial" w:cs="Arial"/>
          <w:sz w:val="18"/>
          <w:szCs w:val="18"/>
          <w:lang w:val="it-IT"/>
        </w:rPr>
      </w:pPr>
      <w:r>
        <w:rPr>
          <w:rStyle w:val="tli1"/>
          <w:rFonts w:eastAsia="Arial" w:cs="Arial" w:ascii="Arial" w:hAnsi="Arial"/>
          <w:color w:val="auto"/>
          <w:spacing w:val="0"/>
          <w:w w:val="100"/>
          <w:sz w:val="20"/>
          <w:szCs w:val="20"/>
          <w:lang w:val="ro-RO"/>
        </w:rPr>
        <w:t>când un lucrător a lipsit peste 30 de zile lucrătoare;</w:t>
      </w:r>
    </w:p>
    <w:p>
      <w:pPr>
        <w:pStyle w:val="Normal"/>
        <w:widowControl/>
        <w:numPr>
          <w:ilvl w:val="2"/>
          <w:numId w:val="9"/>
        </w:numPr>
        <w:spacing w:before="0" w:after="40"/>
        <w:jc w:val="left"/>
        <w:rPr>
          <w:rFonts w:ascii="Arial" w:hAnsi="Arial" w:cs="Arial"/>
          <w:sz w:val="18"/>
          <w:szCs w:val="18"/>
          <w:lang w:val="it-IT"/>
        </w:rPr>
      </w:pPr>
      <w:r>
        <w:rPr>
          <w:rStyle w:val="tli1"/>
          <w:rFonts w:eastAsia="Arial" w:cs="Arial" w:ascii="Arial" w:hAnsi="Arial"/>
          <w:color w:val="auto"/>
          <w:spacing w:val="0"/>
          <w:w w:val="100"/>
          <w:sz w:val="20"/>
          <w:szCs w:val="20"/>
          <w:lang w:val="ro-RO"/>
        </w:rPr>
        <w:t>când au apărut modificări ale prevederilor de securitate și sănătate în muncă privind activități specifice ale locului de muncă și/ sau postului de lucru sau ale instrucțiunilor proprii, inclusiv datorită evoluției riscurilor sau apariției de noi riscuri în unitate;</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color w:val="auto"/>
          <w:spacing w:val="0"/>
          <w:w w:val="100"/>
          <w:sz w:val="20"/>
          <w:szCs w:val="20"/>
          <w:lang w:val="ro-RO"/>
        </w:rPr>
        <w:t>la reluarea activității după accident de muncă;</w:t>
      </w:r>
    </w:p>
    <w:p>
      <w:pPr>
        <w:pStyle w:val="Normal"/>
        <w:widowControl/>
        <w:numPr>
          <w:ilvl w:val="2"/>
          <w:numId w:val="9"/>
        </w:numPr>
        <w:spacing w:before="0" w:after="40"/>
        <w:jc w:val="left"/>
        <w:rPr>
          <w:rFonts w:ascii="Arial" w:hAnsi="Arial" w:cs="Arial"/>
          <w:sz w:val="18"/>
          <w:szCs w:val="18"/>
        </w:rPr>
      </w:pPr>
      <w:r>
        <w:rPr>
          <w:rStyle w:val="tli1"/>
          <w:rFonts w:eastAsia="Arial" w:cs="Arial" w:ascii="Arial" w:hAnsi="Arial"/>
          <w:color w:val="auto"/>
          <w:spacing w:val="0"/>
          <w:w w:val="100"/>
          <w:sz w:val="20"/>
          <w:szCs w:val="20"/>
          <w:lang w:val="ro-RO"/>
        </w:rPr>
        <w:t>la executarea unor lucrări speciale;</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color w:val="auto"/>
          <w:spacing w:val="0"/>
          <w:w w:val="100"/>
          <w:sz w:val="20"/>
          <w:szCs w:val="20"/>
          <w:lang w:val="ro-RO"/>
        </w:rPr>
        <w:t>la introducerea unui echipament de muncă sau a unor modificări ale echipamentului existent;</w:t>
      </w:r>
    </w:p>
    <w:p>
      <w:pPr>
        <w:pStyle w:val="Normal"/>
        <w:widowControl/>
        <w:numPr>
          <w:ilvl w:val="2"/>
          <w:numId w:val="9"/>
        </w:numPr>
        <w:spacing w:before="0" w:after="40"/>
        <w:jc w:val="left"/>
        <w:rPr>
          <w:rFonts w:ascii="Arial" w:hAnsi="Arial" w:cs="Arial"/>
          <w:sz w:val="18"/>
          <w:szCs w:val="18"/>
          <w:lang w:val="es-ES"/>
        </w:rPr>
      </w:pPr>
      <w:r>
        <w:rPr>
          <w:rStyle w:val="tli1"/>
          <w:rFonts w:eastAsia="Arial" w:cs="Arial" w:ascii="Arial" w:hAnsi="Arial"/>
          <w:color w:val="auto"/>
          <w:spacing w:val="0"/>
          <w:w w:val="100"/>
          <w:sz w:val="20"/>
          <w:szCs w:val="20"/>
          <w:lang w:val="ro-RO"/>
        </w:rPr>
        <w:t>la modificarea tehnologiilor existente sau procedurilor de lucru;</w:t>
      </w:r>
    </w:p>
    <w:p>
      <w:pPr>
        <w:pStyle w:val="Normal"/>
        <w:widowControl/>
        <w:numPr>
          <w:ilvl w:val="2"/>
          <w:numId w:val="9"/>
        </w:numPr>
        <w:spacing w:before="0" w:after="120"/>
        <w:jc w:val="left"/>
        <w:rPr>
          <w:rFonts w:ascii="Arial" w:hAnsi="Arial" w:cs="Arial"/>
          <w:sz w:val="18"/>
          <w:szCs w:val="18"/>
          <w:lang w:val="it-IT"/>
        </w:rPr>
      </w:pPr>
      <w:r>
        <w:rPr>
          <w:rStyle w:val="tli1"/>
          <w:rFonts w:eastAsia="Arial" w:cs="Arial" w:ascii="Arial" w:hAnsi="Arial"/>
          <w:color w:val="auto"/>
          <w:spacing w:val="0"/>
          <w:w w:val="100"/>
          <w:sz w:val="20"/>
          <w:szCs w:val="20"/>
          <w:lang w:val="ro-RO"/>
        </w:rPr>
        <w:t>la introducerea oricărei noi tehnologii sau a unor proceduri de lucru.</w:t>
      </w:r>
    </w:p>
    <w:p>
      <w:pPr>
        <w:pStyle w:val="Heading1"/>
        <w:widowControl/>
        <w:numPr>
          <w:ilvl w:val="0"/>
          <w:numId w:val="9"/>
        </w:numPr>
        <w:spacing w:before="120" w:after="60"/>
        <w:jc w:val="left"/>
        <w:rPr>
          <w:rStyle w:val="spar"/>
          <w:b/>
          <w:i/>
          <w:sz w:val="18"/>
          <w:szCs w:val="18"/>
          <w:lang w:val="ro-RO"/>
        </w:rPr>
      </w:pPr>
      <w:r>
        <w:rPr>
          <w:rFonts w:eastAsia="Arial" w:cs="Arial" w:ascii="Arial" w:hAnsi="Arial"/>
          <w:b w:val="false"/>
          <w:i/>
          <w:color w:val="auto"/>
          <w:spacing w:val="0"/>
          <w:w w:val="100"/>
          <w:sz w:val="20"/>
          <w:szCs w:val="20"/>
          <w:lang w:val="ro-RO"/>
        </w:rPr>
        <w:t xml:space="preserve">(Preluare din H.G. 1425/2006 – Art. 99 – conf. H.G. 767/2016 – pct. 6)</w:t>
      </w:r>
      <w:r>
        <w:rPr>
          <w:rFonts w:eastAsia="Arial" w:cs="Arial" w:ascii="Arial" w:hAnsi="Arial"/>
          <w:b w:val="false"/>
          <w:color w:val="auto"/>
          <w:spacing w:val="0"/>
          <w:w w:val="100"/>
          <w:sz w:val="20"/>
          <w:szCs w:val="20"/>
          <w:lang w:val="ro-RO"/>
        </w:rPr>
        <w:t xml:space="preserve"> </w:t>
      </w:r>
      <w:r>
        <w:rPr>
          <w:rStyle w:val="spar"/>
          <w:rFonts w:eastAsia="Arial" w:cs="Arial" w:ascii="Arial" w:hAnsi="Arial"/>
          <w:b/>
          <w:color w:val="auto"/>
          <w:spacing w:val="0"/>
          <w:w w:val="100"/>
          <w:sz w:val="20"/>
          <w:szCs w:val="20"/>
          <w:shd w:fill="FFFFFF" w:val="clear"/>
          <w:lang w:val="ro-RO"/>
        </w:rPr>
        <w:t xml:space="preserve">Durata instruirii periodice prevăzute la art. 98 se stabilește de către angajator, împreună cu: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conducătorul locului de muncă respectiv; sau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lucrătorul desemnat; sau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serviciul intern de prevenire și protecție; sau</w:t>
      </w:r>
    </w:p>
    <w:p>
      <w:pPr>
        <w:pStyle w:val="Normal"/>
        <w:widowControl/>
        <w:numPr>
          <w:ilvl w:val="2"/>
          <w:numId w:val="9"/>
        </w:numPr>
        <w:spacing w:before="0" w:after="40"/>
        <w:jc w:val="left"/>
        <w:rPr>
          <w:rFonts w:ascii="Arial" w:hAnsi="Arial" w:cs="Arial"/>
          <w:sz w:val="18"/>
          <w:szCs w:val="18"/>
          <w:lang w:val="it-IT"/>
        </w:rPr>
      </w:pPr>
      <w:r>
        <w:rPr>
          <w:rStyle w:val="slitbdy"/>
          <w:rFonts w:eastAsia="Arial" w:cs="Arial" w:ascii="Arial" w:hAnsi="Arial"/>
          <w:color w:val="auto"/>
          <w:spacing w:val="0"/>
          <w:w w:val="100"/>
          <w:sz w:val="20"/>
          <w:szCs w:val="20"/>
          <w:lang w:val="ro-RO"/>
        </w:rPr>
        <w:t>serviciul extern de prevenire și protecție.</w:t>
      </w:r>
    </w:p>
    <w:p>
      <w:pPr>
        <w:pStyle w:val="Heading1"/>
        <w:widowControl/>
        <w:numPr>
          <w:ilvl w:val="0"/>
          <w:numId w:val="9"/>
        </w:numPr>
        <w:spacing w:before="120" w:after="60"/>
        <w:jc w:val="left"/>
        <w:rPr>
          <w:rStyle w:val="tpa1"/>
          <w:b/>
          <w:sz w:val="18"/>
          <w:szCs w:val="18"/>
          <w:lang w:val="ro-RO"/>
        </w:rPr>
      </w:pPr>
      <w:r>
        <w:rPr>
          <w:rFonts w:ascii="Arial" w:hAnsi="Arial" w:cs="Arial" w:eastAsia="Arial"/>
          <w:color w:val="auto"/>
          <w:sz w:val="20"/>
          <w:szCs w:val="20"/>
          <w:lang w:val="ro-RO"/>
        </w:rPr>
        <w:t xml:space="preserve">(Preluare din H.G. 1425/2006 – Art. 100) Instruirea periodică prevăzută la art. 98 din H.G. 1425/2006 se va efectua pe baza tematicilor întocmite de către angajatorul care și-a asumat atribuțiile din domeniul securității și sănătății în muncă/ lucrătorul desemnat/ serviciul intern de prevenire și protecție/ serviciul extern de prevenire și protecție și aprobate de către angajator, care vor fi păstrate la persoana care efectuează instruirea.</w:t>
      </w:r>
    </w:p>
    <w:p>
      <w:pPr>
        <w:pStyle w:val="Heading1"/>
        <w:widowControl/>
        <w:numPr>
          <w:ilvl w:val="0"/>
          <w:numId w:val="9"/>
        </w:numPr>
        <w:spacing w:before="120" w:after="60"/>
        <w:jc w:val="left"/>
        <w:rPr>
          <w:b w:val="false"/>
          <w:sz w:val="18"/>
          <w:szCs w:val="18"/>
          <w:lang w:val="it-CH"/>
        </w:rPr>
      </w:pPr>
      <w:r>
        <w:rPr>
          <w:rFonts w:eastAsia="Arial" w:cs="Arial" w:ascii="Arial" w:hAnsi="Arial"/>
          <w:b w:val="false"/>
          <w:color w:val="auto"/>
          <w:spacing w:val="0"/>
          <w:w w:val="100"/>
          <w:sz w:val="20"/>
          <w:szCs w:val="20"/>
          <w:lang w:val="ro-RO"/>
        </w:rPr>
        <w:t xml:space="preserve">Ținând cont că instruirea în domeniul securității și sănătății în muncă cuprinde 3 (trei) faze, instruirea introductiv-generală, instruirea la locul de muncă și instruirea periodică, va fi întocmită « </w:t>
      </w:r>
      <w:r>
        <w:rPr>
          <w:rStyle w:val="tpt1"/>
          <w:rFonts w:eastAsia="Arial" w:cs="Arial" w:ascii="Arial" w:hAnsi="Arial"/>
          <w:b/>
          <w:color w:val="auto"/>
          <w:spacing w:val="0"/>
          <w:w w:val="100"/>
          <w:sz w:val="20"/>
          <w:szCs w:val="20"/>
          <w:lang w:val="ro-RO"/>
        </w:rPr>
        <w:t xml:space="preserve">Tematica de instruire și programul de instruire – testare la nivelul unității în domeniul securității și sănătății în muncă</w:t>
      </w:r>
      <w:r>
        <w:rPr>
          <w:rFonts w:eastAsia="Arial" w:cs="Arial" w:ascii="Arial" w:hAnsi="Arial"/>
          <w:b w:val="false"/>
          <w:color w:val="auto"/>
          <w:spacing w:val="0"/>
          <w:w w:val="100"/>
          <w:sz w:val="20"/>
          <w:szCs w:val="20"/>
          <w:lang w:val="ro-RO"/>
        </w:rPr>
        <w:t xml:space="preserve"> », fiind codificată TISSM.</w:t>
      </w:r>
    </w:p>
    <w:p>
      <w:pPr>
        <w:pStyle w:val="Normal"/>
        <w:widowControl/>
        <w:numPr>
          <w:ilvl w:val="0"/>
          <w:numId w:val="9"/>
        </w:numPr>
        <w:spacing w:before="120" w:after="60"/>
        <w:jc w:val="left"/>
        <w:rPr>
          <w:rFonts w:ascii="Arial" w:hAnsi="Arial" w:cs="Arial"/>
          <w:sz w:val="18"/>
          <w:szCs w:val="18"/>
          <w:lang w:val="ro-RO"/>
        </w:rPr>
      </w:pPr>
      <w:r>
        <w:rPr>
          <w:rFonts w:eastAsia="Arial" w:cs="Arial" w:ascii="Arial" w:hAnsi="Arial"/>
          <w:bCs/>
          <w:color w:val="auto"/>
          <w:spacing w:val="0"/>
          <w:w w:val="100"/>
          <w:sz w:val="20"/>
          <w:szCs w:val="20"/>
          <w:lang w:val="ro-RO"/>
        </w:rPr>
        <w:t xml:space="preserve">Diferențierea pentru locurile de muncă, respectiv posturile de lucru, va fi efectuată </w:t>
      </w:r>
      <w:r>
        <w:rPr>
          <w:rFonts w:eastAsia="Arial" w:cs="Arial" w:ascii="Arial" w:hAnsi="Arial"/>
          <w:color w:val="auto"/>
          <w:spacing w:val="0"/>
          <w:w w:val="100"/>
          <w:sz w:val="20"/>
          <w:szCs w:val="20"/>
          <w:lang w:val="ro-RO"/>
        </w:rPr>
        <w:t xml:space="preserve">în funcție de sarcinile de muncă desfășurate de executanți și va reieși din articolele prevăzute și specificate în tematica de instruire, articole din MISSMIG și IPSSM.</w:t>
      </w:r>
    </w:p>
    <w:p>
      <w:pPr>
        <w:pStyle w:val="Heading2"/>
        <w:keepNext w:val="true"/>
        <w:widowControl/>
        <w:numPr>
          <w:ilvl w:val="1"/>
          <w:numId w:val="1"/>
        </w:numPr>
        <w:tabs>
          <w:tab w:val="clear" w:pos="504"/>
        </w:tabs>
        <w:spacing w:before="240" w:after="120"/>
        <w:ind w:hanging="0" w:left="0" w:right="0"/>
        <w:jc w:val="center"/>
        <w:rPr>
          <w:rFonts w:ascii="Arial" w:hAnsi="Arial" w:cs="Arial"/>
          <w:sz w:val="18"/>
          <w:szCs w:val="18"/>
          <w:lang w:val="it-CH"/>
        </w:rPr>
      </w:pPr>
      <w:r>
        <w:rPr>
          <w:rFonts w:eastAsia="Arial" w:cs="Arial" w:ascii="Arial" w:hAnsi="Arial"/>
          <w:b/>
          <w:color w:val="auto"/>
          <w:spacing w:val="0"/>
          <w:w w:val="100"/>
          <w:sz w:val="20"/>
          <w:szCs w:val="20"/>
          <w:lang w:val="ro-RO"/>
        </w:rPr>
        <w:t>Capitolul VI. Informații cu privire la comitetul de securitate și sănătate în muncă</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57)</w:t>
      </w:r>
      <w:r>
        <w:rPr>
          <w:rFonts w:eastAsia="Arial" w:cs="Arial" w:ascii="Arial" w:hAnsi="Arial"/>
          <w:b w:val="false"/>
          <w:color w:val="auto"/>
          <w:spacing w:val="0"/>
          <w:w w:val="100"/>
          <w:sz w:val="20"/>
          <w:szCs w:val="20"/>
          <w:lang w:val="ro-RO"/>
        </w:rPr>
        <w:t xml:space="preserve"> </w:t>
      </w:r>
      <w:r>
        <w:rPr>
          <w:rStyle w:val="al1"/>
          <w:rFonts w:eastAsia="Arial" w:cs="Arial" w:ascii="Arial" w:hAnsi="Arial"/>
          <w:b w:val="false"/>
          <w:bCs/>
          <w:color w:val="auto"/>
          <w:spacing w:val="0"/>
          <w:w w:val="100"/>
          <w:sz w:val="20"/>
          <w:szCs w:val="20"/>
          <w:lang w:val="ro-RO"/>
        </w:rPr>
        <w:t xml:space="preserve">(1)</w:t>
      </w:r>
      <w:r>
        <w:rPr>
          <w:rStyle w:val="al1"/>
          <w:rFonts w:eastAsia="Arial" w:cs="Arial" w:ascii="Arial" w:hAnsi="Arial"/>
          <w:b/>
          <w:bCs/>
          <w:color w:val="auto"/>
          <w:spacing w:val="0"/>
          <w:w w:val="100"/>
          <w:sz w:val="20"/>
          <w:szCs w:val="20"/>
          <w:lang w:val="ro-RO"/>
        </w:rPr>
        <w:t xml:space="preserve"> </w:t>
      </w:r>
      <w:r>
        <w:rPr>
          <w:rStyle w:val="tal1"/>
          <w:rFonts w:eastAsia="Arial" w:cs="Arial" w:ascii="Arial" w:hAnsi="Arial"/>
          <w:b/>
          <w:color w:val="auto"/>
          <w:spacing w:val="0"/>
          <w:w w:val="100"/>
          <w:sz w:val="20"/>
          <w:szCs w:val="20"/>
          <w:lang w:val="ro-RO"/>
        </w:rPr>
        <w:t xml:space="preserve">Comitetul de securitate și sănătate în muncă se constituie în unitățile care au un număr de cel puțin 50 de lucrători, inclusiv cu capital străin, care desfășoară activități pe teritoriul României.</w:t>
      </w:r>
    </w:p>
    <w:p>
      <w:pPr>
        <w:pStyle w:val="Normal"/>
        <w:widowControl/>
        <w:spacing w:before="0" w:after="120"/>
        <w:ind w:hanging="0"/>
        <w:jc w:val="left"/>
        <w:rPr>
          <w:rFonts w:ascii="Arial" w:hAnsi="Arial" w:cs="Arial"/>
          <w:sz w:val="18"/>
          <w:szCs w:val="18"/>
          <w:lang w:val="fr-FR"/>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Inspectorul de muncă poate impune constituirea comitetului de securitate și sănătate în muncă în unitățile cu un număr mai mic de 50 de lucrători în funcție de natura activității și de riscurile identificate.</w:t>
      </w:r>
    </w:p>
    <w:p>
      <w:pPr>
        <w:pStyle w:val="Normal"/>
        <w:widowControl/>
        <w:spacing w:before="0" w:after="120"/>
        <w:ind w:hanging="0"/>
        <w:jc w:val="left"/>
        <w:rPr>
          <w:rFonts w:ascii="Arial" w:hAnsi="Arial" w:cs="Arial"/>
          <w:sz w:val="18"/>
          <w:szCs w:val="18"/>
          <w:lang w:val="fr-FR"/>
        </w:rPr>
      </w:pPr>
      <w:r>
        <w:rPr>
          <w:rFonts w:eastAsia="Arial" w:cs="Arial" w:ascii="Arial" w:hAnsi="Arial"/>
          <w:b/>
          <w:bCs/>
          <w:color w:val="auto"/>
          <w:spacing w:val="0"/>
          <w:w w:val="100"/>
          <w:sz w:val="20"/>
          <w:szCs w:val="20"/>
          <w:lang w:val="ro-RO"/>
        </w:rPr>
        <w:t>(</w:t>
      </w:r>
      <w:r>
        <w:rPr>
          <w:rStyle w:val="al1"/>
          <w:rFonts w:eastAsia="Arial" w:cs="Arial" w:ascii="Arial" w:hAnsi="Arial"/>
          <w:color w:val="auto"/>
          <w:spacing w:val="0"/>
          <w:w w:val="100"/>
          <w:sz w:val="20"/>
          <w:szCs w:val="20"/>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În cazul în care activitatea se desfășoară în unități dispersate teritorial, se pot înființa mai multe comitete de securitate și sănătate în muncă; numărul acestora se stabilește prin contractul colectiv de muncă aplicabil sau prin regulamentul intern ori regulamentul de organizare și funcționare.</w:t>
      </w:r>
    </w:p>
    <w:p>
      <w:pPr>
        <w:pStyle w:val="Normal"/>
        <w:widowControl/>
        <w:spacing w:before="0" w:after="120"/>
        <w:ind w:hanging="0"/>
        <w:jc w:val="left"/>
        <w:rPr>
          <w:rFonts w:ascii="Arial" w:hAnsi="Arial" w:cs="Arial"/>
          <w:sz w:val="18"/>
          <w:szCs w:val="18"/>
          <w:lang w:val="fr-FR"/>
        </w:rPr>
      </w:pPr>
      <w:r>
        <w:rPr>
          <w:rFonts w:eastAsia="Arial" w:cs="Arial" w:ascii="Arial" w:hAnsi="Arial"/>
          <w:b/>
          <w:bCs/>
          <w:color w:val="auto"/>
          <w:spacing w:val="0"/>
          <w:w w:val="100"/>
          <w:sz w:val="20"/>
          <w:szCs w:val="20"/>
          <w:lang w:val="ro-RO"/>
        </w:rPr>
        <w:t>(</w:t>
      </w:r>
      <w:r>
        <w:rPr>
          <w:rStyle w:val="al1"/>
          <w:rFonts w:eastAsia="Arial" w:cs="Arial" w:ascii="Arial" w:hAnsi="Arial"/>
          <w:color w:val="auto"/>
          <w:spacing w:val="0"/>
          <w:w w:val="100"/>
          <w:sz w:val="20"/>
          <w:szCs w:val="20"/>
          <w:lang w:val="ro-RO"/>
        </w:rPr>
        <w:t>4)</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Comitetul de securitate și sănătate în muncă se constituie și în cazul activităților care se desfășoară temporar, respectiv cu o durată mai mare de 3 luni.</w:t>
      </w:r>
    </w:p>
    <w:p>
      <w:pPr>
        <w:pStyle w:val="Normal"/>
        <w:widowControl/>
        <w:spacing w:before="0" w:after="120"/>
        <w:ind w:hanging="0"/>
        <w:jc w:val="left"/>
        <w:rPr>
          <w:rFonts w:ascii="Verdana" w:hAnsi="Verdana" w:cs="Verdana"/>
          <w:lang w:val="fr-FR"/>
        </w:rPr>
      </w:pPr>
      <w:r>
        <w:rPr>
          <w:rStyle w:val="al1"/>
          <w:rFonts w:eastAsia="Arial" w:cs="Arial" w:ascii="Arial" w:hAnsi="Arial"/>
          <w:color w:val="auto"/>
          <w:spacing w:val="0"/>
          <w:w w:val="100"/>
          <w:sz w:val="20"/>
          <w:szCs w:val="20"/>
          <w:lang w:val="ro-RO"/>
        </w:rPr>
        <w:t>(5)</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În unitățile care au mai puțin de 50 de lucrători, unde nu s-a constituit comitet de securitate și sănătate în muncă, atribuțiile acestuia revin reprezentanților lucrătorilor cu răspunderi specifice în domeniul securității și sănătății lucrătorilor.</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65)</w:t>
      </w:r>
      <w:r>
        <w:rPr>
          <w:rFonts w:eastAsia="Arial" w:cs="Arial" w:ascii="Arial" w:hAnsi="Arial"/>
          <w:b w:val="false"/>
          <w:color w:val="auto"/>
          <w:spacing w:val="0"/>
          <w:w w:val="100"/>
          <w:sz w:val="20"/>
          <w:szCs w:val="20"/>
          <w:lang w:val="ro-RO"/>
        </w:rPr>
        <w:t xml:space="preserve"> </w:t>
      </w:r>
      <w:r>
        <w:rPr>
          <w:rStyle w:val="tpa1"/>
          <w:rFonts w:eastAsia="Arial" w:cs="Arial" w:ascii="Arial" w:hAnsi="Arial"/>
          <w:b/>
          <w:color w:val="auto"/>
          <w:spacing w:val="0"/>
          <w:w w:val="100"/>
          <w:sz w:val="20"/>
          <w:szCs w:val="20"/>
          <w:lang w:val="ro-RO"/>
        </w:rPr>
        <w:t xml:space="preserve">Comitetul de securitate și sănătate în muncă funcționează în baza regulamentului de funcționare propriu.</w:t>
      </w:r>
    </w:p>
    <w:p>
      <w:pPr>
        <w:pStyle w:val="Heading2"/>
        <w:keepNext w:val="true"/>
        <w:widowControl/>
        <w:numPr>
          <w:ilvl w:val="1"/>
          <w:numId w:val="1"/>
        </w:numPr>
        <w:tabs>
          <w:tab w:val="clear" w:pos="504"/>
        </w:tabs>
        <w:spacing w:before="240" w:after="120"/>
        <w:ind w:hanging="0" w:left="0" w:right="0"/>
        <w:jc w:val="center"/>
        <w:rPr>
          <w:rFonts w:ascii="Arial" w:hAnsi="Arial" w:cs="Arial"/>
          <w:sz w:val="18"/>
          <w:szCs w:val="18"/>
          <w:lang w:val="it-CH"/>
        </w:rPr>
      </w:pPr>
      <w:r>
        <w:rPr>
          <w:rFonts w:eastAsia="Arial" w:cs="Arial" w:ascii="Arial" w:hAnsi="Arial"/>
          <w:b/>
          <w:color w:val="auto"/>
          <w:spacing w:val="0"/>
          <w:w w:val="100"/>
          <w:sz w:val="20"/>
          <w:szCs w:val="20"/>
          <w:lang w:val="ro-RO"/>
        </w:rPr>
        <w:t xml:space="preserve">Capitolul VII. Comunicarea, cercetarea, înregistrarea și raportarea evenimentelor, accidentelor de muncă și bolilor profesionale</w:t>
      </w:r>
    </w:p>
    <w:p>
      <w:pPr>
        <w:pStyle w:val="Heading1"/>
        <w:widowControl/>
        <w:numPr>
          <w:ilvl w:val="0"/>
          <w:numId w:val="9"/>
        </w:numPr>
        <w:spacing w:before="120" w:after="60"/>
        <w:jc w:val="left"/>
        <w:rPr>
          <w:b w:val="false"/>
          <w:sz w:val="18"/>
          <w:szCs w:val="18"/>
          <w:lang w:val="da-DK"/>
        </w:rPr>
      </w:pPr>
      <w:r>
        <w:rPr>
          <w:rFonts w:eastAsia="Arial" w:cs="Arial" w:ascii="Arial" w:hAnsi="Arial"/>
          <w:b w:val="false"/>
          <w:i/>
          <w:color w:val="auto"/>
          <w:spacing w:val="0"/>
          <w:w w:val="100"/>
          <w:sz w:val="20"/>
          <w:szCs w:val="20"/>
          <w:lang w:val="ro-RO"/>
        </w:rPr>
        <w:t xml:space="preserve">(Preluare din Legea 319/2006 – Art. 12 alin. (1) lit. c), d))</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Angajatorul are următoarele obligații:</w:t>
      </w:r>
    </w:p>
    <w:p>
      <w:pPr>
        <w:pStyle w:val="Normal"/>
        <w:widowControl/>
        <w:numPr>
          <w:ilvl w:val="0"/>
          <w:numId w:val="22"/>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 xml:space="preserve">să țină evidența accidentelor de muncă ce au ca urmare o incapacitate de muncă mai mare de 3 zile de lucru, a accidentelor ușoare, a bolilor profesionale, a incidentelor periculoase, precum și a accidentelor de muncă, astfel cum sunt definite la art. 5 lit. g) din Legea 319/2006;</w:t>
      </w:r>
    </w:p>
    <w:p>
      <w:pPr>
        <w:pStyle w:val="Normal"/>
        <w:widowControl/>
        <w:numPr>
          <w:ilvl w:val="0"/>
          <w:numId w:val="22"/>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elaboreze pentru autoritățile competente și în conformitate cu reglementările legale rapoarte privind accidentele de muncă suferite de lucrătorii săi.</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5 lit. g))</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În sensul Legii 319/2006, termenul de </w:t>
      </w:r>
      <w:r>
        <w:rPr>
          <w:rFonts w:eastAsia="Arial" w:cs="Arial" w:ascii="Arial" w:hAnsi="Arial"/>
          <w:i/>
          <w:color w:val="auto"/>
          <w:spacing w:val="0"/>
          <w:w w:val="100"/>
          <w:sz w:val="20"/>
          <w:szCs w:val="20"/>
          <w:lang w:val="ro-RO"/>
        </w:rPr>
        <w:t xml:space="preserve">accident de muncă </w:t>
      </w:r>
      <w:r>
        <w:rPr>
          <w:rFonts w:eastAsia="Arial" w:cs="Arial" w:ascii="Arial" w:hAnsi="Arial"/>
          <w:color w:val="auto"/>
          <w:spacing w:val="0"/>
          <w:w w:val="100"/>
          <w:sz w:val="20"/>
          <w:szCs w:val="20"/>
          <w:lang w:val="ro-RO"/>
        </w:rPr>
        <w:t xml:space="preserve">are următorul înțeles: vătămarea violentă a organismului, precum și intoxicația acută profesională, care au loc în timpul procesului de muncă sau în îndeplinirea îndatoririlor de serviciu și care provoacă incapacitate temporară de muncă de cel puțin 3 zile calendaristice, invaliditate ori deces.</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5 lit. h)) În sensul Legii 319/2006, termenul de boală profesională</w:t>
      </w:r>
      <w:r>
        <w:rPr>
          <w:rStyle w:val="tal1"/>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are următorul înțeles: afecțiunea care se produce ca urmare a exercitării unei meserii sau profesii, cauzată de agenți nocivi fizici, chimici ori biologici caracteristici locului de muncă, precum și de suprasolicitarea diferitelor organe sau sisteme ale organismului, în procesul de muncă.</w:t>
      </w:r>
    </w:p>
    <w:p>
      <w:pPr>
        <w:pStyle w:val="Heading1"/>
        <w:widowControl/>
        <w:numPr>
          <w:ilvl w:val="0"/>
          <w:numId w:val="9"/>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319/2006 – Art. 26)</w:t>
      </w:r>
      <w:r>
        <w:rPr>
          <w:rFonts w:eastAsia="Arial" w:cs="Arial" w:ascii="Arial" w:hAnsi="Arial"/>
          <w:b w:val="false"/>
          <w:color w:val="auto"/>
          <w:spacing w:val="0"/>
          <w:w w:val="100"/>
          <w:sz w:val="20"/>
          <w:szCs w:val="20"/>
          <w:lang w:val="ro-RO"/>
        </w:rPr>
        <w:t xml:space="preserve"> Orice eveniment va fi comunicat de îndată angajatorului, de către conducătorul locului de muncă sau de orice altă persoană care are cunoștință despre producerea acestuia.</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319/2006 – Art. 27)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Angajatorul are obligația să comunice evenimentele, de îndată, după cum urmează:</w:t>
      </w:r>
    </w:p>
    <w:p>
      <w:pPr>
        <w:pStyle w:val="Normal"/>
        <w:widowControl/>
        <w:numPr>
          <w:ilvl w:val="0"/>
          <w:numId w:val="38"/>
        </w:numPr>
        <w:spacing w:before="0" w:after="40"/>
        <w:ind w:right="0"/>
        <w:jc w:val="left"/>
        <w:rPr>
          <w:rFonts w:ascii="Arial" w:hAnsi="Arial" w:cs="Arial"/>
          <w:sz w:val="18"/>
          <w:szCs w:val="18"/>
          <w:lang w:val="ro-RO"/>
        </w:rPr>
      </w:pPr>
      <w:r>
        <w:rPr>
          <w:rFonts w:eastAsia="Arial" w:cs="Arial" w:ascii="Arial" w:hAnsi="Arial"/>
          <w:color w:val="auto"/>
          <w:spacing w:val="0"/>
          <w:w w:val="100"/>
          <w:sz w:val="20"/>
          <w:szCs w:val="20"/>
          <w:lang w:val="ro-RO"/>
        </w:rPr>
        <w:t xml:space="preserve">inspectoratelor teritoriale de muncă, toate evenimentele așa cum sunt definite la art. 5 lit. f) din Legea 319/2006;</w:t>
      </w:r>
    </w:p>
    <w:p>
      <w:pPr>
        <w:pStyle w:val="Normal"/>
        <w:widowControl/>
        <w:numPr>
          <w:ilvl w:val="0"/>
          <w:numId w:val="38"/>
        </w:numPr>
        <w:spacing w:before="0" w:after="40"/>
        <w:ind w:right="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asigurătorului, potrivit Legii 346/2002</w:t>
      </w:r>
      <w:r>
        <w:rPr>
          <w:rFonts w:eastAsia="Arial" w:cs="Arial" w:ascii="Arial" w:hAnsi="Arial"/>
          <w:color w:val="auto"/>
          <w:spacing w:val="0"/>
          <w:w w:val="100"/>
          <w:sz w:val="20"/>
          <w:szCs w:val="20"/>
          <w:lang w:val="ro-RO"/>
        </w:rPr>
        <w:t xml:space="preserve"> privind asigurarea pentru accidente de muncă și boli profesionale, cu modificările și completările ulterioare, evenimentele urmate de incapacitate temporară de muncă, invaliditate sau deces, la confirmarea acestora;</w:t>
      </w:r>
    </w:p>
    <w:p>
      <w:pPr>
        <w:pStyle w:val="Normal"/>
        <w:widowControl/>
        <w:numPr>
          <w:ilvl w:val="0"/>
          <w:numId w:val="38"/>
        </w:numPr>
        <w:spacing w:before="0" w:after="120"/>
        <w:ind w:right="0"/>
        <w:jc w:val="left"/>
        <w:rPr>
          <w:rFonts w:ascii="Arial" w:hAnsi="Arial" w:cs="Arial"/>
          <w:sz w:val="18"/>
          <w:szCs w:val="18"/>
          <w:lang w:val="ro-RO"/>
        </w:rPr>
      </w:pPr>
      <w:r>
        <w:rPr>
          <w:rFonts w:eastAsia="Arial" w:cs="Arial" w:ascii="Arial" w:hAnsi="Arial"/>
          <w:color w:val="auto"/>
          <w:spacing w:val="0"/>
          <w:w w:val="100"/>
          <w:sz w:val="20"/>
          <w:szCs w:val="20"/>
          <w:lang w:val="ro-RO"/>
        </w:rPr>
        <w:t>organelor de urmărire penală, după caz.</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Orice medic, inclusiv medicul de medicina muncii aflat într-o relație contractuală cu angajatorul, conform prevederilor legale, va semnala obligatoriu suspiciunea de boală profesională sau legată de profesiune, depistată cu prilejul prestațiilor medicale.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Semnalarea prevăzută la art. 27 alin. (2) din Legea 319/2006 se efectuează către autoritatea de sănătate publică teritorială sau a municipiului București, de îndată, la constatarea cazului.</w:t>
      </w:r>
    </w:p>
    <w:p>
      <w:pPr>
        <w:pStyle w:val="Heading1"/>
        <w:widowControl/>
        <w:numPr>
          <w:ilvl w:val="0"/>
          <w:numId w:val="9"/>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319/2006 – Art. 28)</w:t>
      </w:r>
      <w:r>
        <w:rPr>
          <w:rFonts w:eastAsia="Arial" w:cs="Arial" w:ascii="Arial" w:hAnsi="Arial"/>
          <w:b w:val="false"/>
          <w:color w:val="auto"/>
          <w:spacing w:val="0"/>
          <w:w w:val="100"/>
          <w:sz w:val="20"/>
          <w:szCs w:val="20"/>
          <w:lang w:val="ro-RO"/>
        </w:rPr>
        <w:t xml:space="preserve"> În cazul accidentelor de circulație produse pe drumurile publice, în care printre victime sunt și persoane aflate în îndeplinirea unor sarcini de serviciu, organele de poliție rutieră competente vor trimite instituțiilor și/ sau persoanelor fizice/ juridice prevăzute la art. 29 alin. (1) lit. a) și b) din Legea 319/2006, în termen de 5 zile de la data solicitării, un exemplar al procesului-verbal de cercetare la fața locului.</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319/2006 – Art. 29)</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Cercetarea evenimentelor este obligatorie și se efectuează după cum urmează:</w:t>
      </w:r>
    </w:p>
    <w:p>
      <w:pPr>
        <w:pStyle w:val="Normal"/>
        <w:widowControl/>
        <w:numPr>
          <w:ilvl w:val="0"/>
          <w:numId w:val="3"/>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de către angajator, în cazul evenimentelor care au produs incapacitate temporară de muncă;</w:t>
      </w:r>
    </w:p>
    <w:p>
      <w:pPr>
        <w:pStyle w:val="Normal"/>
        <w:widowControl/>
        <w:numPr>
          <w:ilvl w:val="0"/>
          <w:numId w:val="3"/>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de către inspectoratele teritoriale de muncă, în cazul evenimentelor care au produs invaliditate evidentă sau confirmată, deces, accidente colective, incidente periculoase, în cazul evenimentelor care au produs incapacitate temporară de muncă lucrătorilor la angajatorii persoane fizice, precum și în situațiile cu persoane date dispărute;</w:t>
      </w:r>
    </w:p>
    <w:p>
      <w:pPr>
        <w:pStyle w:val="Normal"/>
        <w:widowControl/>
        <w:numPr>
          <w:ilvl w:val="0"/>
          <w:numId w:val="3"/>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de către Inspecția Muncii, în cazul accidentelor colective, generate de unele evenimente deosebite, precum avariile sau exploziile;</w:t>
      </w:r>
    </w:p>
    <w:p>
      <w:pPr>
        <w:pStyle w:val="Normal"/>
        <w:widowControl/>
        <w:numPr>
          <w:ilvl w:val="0"/>
          <w:numId w:val="3"/>
        </w:numPr>
        <w:spacing w:before="0" w:after="12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de către autoritățile de sănătate publică teritoriale, respectiv a municipiului București, în cazul suspiciunilor de boală profesională și a bolilor legate de profesiune.</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Rezultatul cercetării evenimentului se va consemna într-un proces-verbal.</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În caz de deces al persoanei accidentate ca urmare a unui eveniment, instituția medico-legală competentă este obligată să înainteze inspectoratului teritorial de muncă, în termen de 7 zile de la data decesului, o copie a raportului de constatare medico-legală.</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319/2006 – Art. 30)</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În sensul prevederilor art. 5 lit. g) din Legea 319/2006, este, de asemenea, accident de muncă:</w:t>
      </w:r>
    </w:p>
    <w:p>
      <w:pPr>
        <w:pStyle w:val="Normal"/>
        <w:widowControl/>
        <w:numPr>
          <w:ilvl w:val="0"/>
          <w:numId w:val="46"/>
        </w:numPr>
        <w:spacing w:before="0" w:after="40"/>
        <w:ind w:right="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accidentul suferit de persoane aflate în vizită în întreprindere și/ sau unitate, cu permisiunea angajatorului;</w:t>
      </w:r>
    </w:p>
    <w:p>
      <w:pPr>
        <w:pStyle w:val="Normal"/>
        <w:widowControl/>
        <w:numPr>
          <w:ilvl w:val="0"/>
          <w:numId w:val="46"/>
        </w:numPr>
        <w:spacing w:before="0" w:after="40"/>
        <w:ind w:right="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accidentul suferit de persoanele care îndeplinesc sarcini de stat sau de interes public, inclusiv în cadrul unor activități culturale, sportive, în țară sau în afara granițelor țării, în timpul și din cauza îndeplinirii acestor sarcini;</w:t>
      </w:r>
    </w:p>
    <w:p>
      <w:pPr>
        <w:pStyle w:val="Normal"/>
        <w:widowControl/>
        <w:numPr>
          <w:ilvl w:val="0"/>
          <w:numId w:val="46"/>
        </w:numPr>
        <w:spacing w:before="0" w:after="40"/>
        <w:ind w:right="0"/>
        <w:jc w:val="left"/>
        <w:rPr>
          <w:rFonts w:ascii="Arial" w:hAnsi="Arial" w:cs="Arial"/>
          <w:sz w:val="18"/>
          <w:szCs w:val="18"/>
          <w:lang w:val="es-ES_tradnl"/>
        </w:rPr>
      </w:pPr>
      <w:r>
        <w:rPr>
          <w:rFonts w:eastAsia="Arial" w:cs="Arial" w:ascii="Arial" w:hAnsi="Arial"/>
          <w:color w:val="auto"/>
          <w:spacing w:val="0"/>
          <w:w w:val="100"/>
          <w:sz w:val="20"/>
          <w:szCs w:val="20"/>
          <w:lang w:val="ro-RO"/>
        </w:rPr>
        <w:t>accidentul survenit în cadrul activităților cultural-sportive organizate, în timpul și din cauza îndeplinirii acestor activități;</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accidentul suferit de orice persoană ca urmare a unei acțiuni întreprinse din propria inițiativă pentru salvarea de vieți omenești, precum și accidentul suferit în timpul intervenției de urgență sau al pregătirii în vederea participării la aceasta, pe durata efectuării serviciului de voluntariat organizat conform prevederilor legale;</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accidentul suferit de orice persoană, ca urmare a unei acțiuni întreprinse din proprie inițiativă pentru prevenirea ori înlăturarea unui pericol care amenință avutul public și privat;</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cauzat de activități care nu au legătură cu procesul muncii, dacă se produce la sediul persoanei juridice sau la adresa persoanei fizice, în calitate de angajator, ori în alt loc de muncă organizat de aceștia, în timpul programului de muncă, și nu se datorează culpei exclusive a accidentatului;</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de traseu, dacă deplasarea s-a făcut în timpul și pe traseul normal de la domiciliul lucrătorului la locul de muncă organizat de angajator și invers;</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 timpul deplasării de la sediul persoanei juridice sau de la adresa persoanei fizice la locul de muncă sau de la un loc de muncă la altul, pentru îndeplinirea unei sarcini de muncă;</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 timpul deplasării de la sediul persoanei juridice sau de la adresa persoanei fizice la care este încadrată victima, ori de la orice alt loc de muncă organizat de acestea, la o altă persoană juridică sau fizică, pentru îndeplinirea sarcinilor de muncă, pe durata normală de deplasare;</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accidentul suferit înainte sau după încetarea lucrului, dacă victima prelua sau preda uneltele de lucru, locul de muncă, utilajul ori materialele, dacă schimba îmbrăcămintea personală, echipamentul individual de protecție sau orice alt echipament pus la dispoziție de angajator, dacă se afla în baie ori în spălător sau dacă se deplasa de la locul de muncă la ieșirea din întreprindere sau unitate și invers;</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 timpul pauzelor regulamentare, dacă acesta a avut loc în locuri organizate de angajator, precum și în timpul și pe traseul normal spre și de la aceste locuri;</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accidentul suferit de lucrători ai angajatorilor români sau de persoane fizice române, delegați pentru îndeplinirea îndatoririlor de serviciu în afara granițelor țării, pe durata și traseul prevăzute în documentul de deplasare;</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accidentul suferit de personalul român care efectuează lucrări și servicii pe teritoriul altor țări, în baza unor contracte, convenții sau în alte condiții prevăzute de lege, încheiate de persoane juridice române cu parteneri străini, în timpul și din cauza îndeplinirii îndatoririlor de serviciu;</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cei care urmează cursuri de calificare, recalificare sau perfecționare a pregătirii profesionale, în timpul și din cauza efectuării activităților aferente stagiului de practică;</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accidentul determinat de fenomene sau calamități naturale, cum ar fi furtună, viscol, cutremur, inundație, alunecări de teren, trăsnet (electrocutare), dacă victima se afla în timpul procesului de muncă sau în îndeplinirea îndatoririlor de serviciu;</w:t>
      </w:r>
    </w:p>
    <w:p>
      <w:pPr>
        <w:pStyle w:val="Normal"/>
        <w:widowControl/>
        <w:numPr>
          <w:ilvl w:val="0"/>
          <w:numId w:val="46"/>
        </w:numPr>
        <w:spacing w:before="0" w:after="40"/>
        <w:ind w:right="0"/>
        <w:jc w:val="left"/>
        <w:rPr>
          <w:rFonts w:ascii="Arial" w:hAnsi="Arial" w:cs="Arial"/>
          <w:sz w:val="18"/>
          <w:szCs w:val="18"/>
          <w:lang w:val="it-IT"/>
        </w:rPr>
      </w:pPr>
      <w:r>
        <w:rPr>
          <w:rFonts w:eastAsia="Arial" w:cs="Arial" w:ascii="Arial" w:hAnsi="Arial"/>
          <w:color w:val="auto"/>
          <w:spacing w:val="0"/>
          <w:w w:val="100"/>
          <w:sz w:val="20"/>
          <w:szCs w:val="20"/>
          <w:lang w:val="ro-RO"/>
        </w:rPr>
        <w:t>dispariția unei persoane, în condițiile unui accident de muncă și în împrejurări care îndreptățesc presupunerea decesului acesteia;</w:t>
      </w:r>
    </w:p>
    <w:p>
      <w:pPr>
        <w:pStyle w:val="Normal"/>
        <w:widowControl/>
        <w:numPr>
          <w:ilvl w:val="0"/>
          <w:numId w:val="46"/>
        </w:numPr>
        <w:spacing w:before="0" w:after="120"/>
        <w:ind w:right="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o persoană aflată în îndeplinirea atribuțiilor de serviciu, ca urmare a unei agresiuni.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În situațiile menționate la art. 30 alin. (1) lit. g), h), i) și l) din Legea 319/2006, deplasarea trebuie să se facă fără abateri nejustificate de la traseul normal și, de asemenea, transportul să se facă în condițiile prevăzute de reglementările de securitate și sănătate în muncă sau de circulație în vigoare.</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319/2006 – Art. 31) </w:t>
      </w:r>
      <w:r>
        <w:rPr>
          <w:rFonts w:eastAsia="Arial" w:cs="Arial" w:ascii="Arial" w:hAnsi="Arial"/>
          <w:b w:val="false"/>
          <w:color w:val="auto"/>
          <w:spacing w:val="0"/>
          <w:w w:val="100"/>
          <w:sz w:val="20"/>
          <w:szCs w:val="20"/>
          <w:lang w:val="ro-RO"/>
        </w:rPr>
        <w:t xml:space="preserve">Accidentele de muncă se clasifică, în raport cu urmările produse și cu numărul persoanelor accidentate, în:</w:t>
      </w:r>
    </w:p>
    <w:p>
      <w:pPr>
        <w:pStyle w:val="Normal"/>
        <w:widowControl/>
        <w:numPr>
          <w:ilvl w:val="0"/>
          <w:numId w:val="2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accidente care produc incapacitate temporară de muncă de cel puțin 3 zile calendaristice;</w:t>
      </w:r>
    </w:p>
    <w:p>
      <w:pPr>
        <w:pStyle w:val="Normal"/>
        <w:widowControl/>
        <w:numPr>
          <w:ilvl w:val="0"/>
          <w:numId w:val="2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accidente care produc invaliditate;</w:t>
      </w:r>
    </w:p>
    <w:p>
      <w:pPr>
        <w:pStyle w:val="Normal"/>
        <w:widowControl/>
        <w:numPr>
          <w:ilvl w:val="0"/>
          <w:numId w:val="2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accidente mortale;</w:t>
      </w:r>
    </w:p>
    <w:p>
      <w:pPr>
        <w:pStyle w:val="Normal"/>
        <w:widowControl/>
        <w:numPr>
          <w:ilvl w:val="0"/>
          <w:numId w:val="28"/>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accidente colective, când sunt accidentate cel puțin 3 persoane în același timp și din aceeași cauză.</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319/2006 – Art. 32)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 xml:space="preserve">Înregistrarea accidentului de muncă se face pe baza procesului-verbal de cercetare.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Accidentul de muncă înregistrat de angajator se raportează de către acesta la inspectoratul teritorial de muncă, precum și la asigurator, potrivit legii.</w:t>
      </w:r>
    </w:p>
    <w:p>
      <w:pPr>
        <w:pStyle w:val="Heading1"/>
        <w:widowControl/>
        <w:numPr>
          <w:ilvl w:val="0"/>
          <w:numId w:val="9"/>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319/2006 – Art. 33) </w:t>
      </w:r>
      <w:r>
        <w:rPr>
          <w:rFonts w:eastAsia="Arial" w:cs="Arial" w:ascii="Arial" w:hAnsi="Arial"/>
          <w:b w:val="false"/>
          <w:color w:val="auto"/>
          <w:spacing w:val="0"/>
          <w:w w:val="100"/>
          <w:sz w:val="20"/>
          <w:szCs w:val="20"/>
          <w:lang w:val="ro-RO"/>
        </w:rPr>
        <w:t xml:space="preserve">În sensul prevederilor art. 5 lit. h) din Legea 319/2006, afecțiunile suferite de elevi și studenți în timpul efectuării instruirii practice sunt, de asemenea, boli profesionale.</w:t>
      </w:r>
    </w:p>
    <w:p>
      <w:pPr>
        <w:pStyle w:val="Heading1"/>
        <w:widowControl/>
        <w:numPr>
          <w:ilvl w:val="0"/>
          <w:numId w:val="9"/>
        </w:numPr>
        <w:spacing w:before="120" w:after="60"/>
        <w:jc w:val="left"/>
        <w:rPr>
          <w:b w:val="false"/>
          <w:sz w:val="18"/>
          <w:szCs w:val="18"/>
          <w:lang w:val="da-DK"/>
        </w:rPr>
      </w:pPr>
      <w:r>
        <w:rPr>
          <w:rFonts w:eastAsia="Arial" w:cs="Arial" w:ascii="Arial" w:hAnsi="Arial"/>
          <w:b w:val="false"/>
          <w:i/>
          <w:color w:val="auto"/>
          <w:spacing w:val="0"/>
          <w:w w:val="100"/>
          <w:sz w:val="20"/>
          <w:szCs w:val="20"/>
          <w:lang w:val="ro-RO"/>
        </w:rPr>
        <w:t xml:space="preserve">(Preluare din Legea 319/2006 – Art. 34)</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Declararea bolilor profesionale este obligatorie și se face de către medicii din cadrul autorităților de sănătate publică teritoriale și a municipiului București.</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Cercetarea cauzelor îmbolnăvirilor profesionale, în vederea confirmării sau infirmării lor, precum și stabilirea de măsuri pentru prevenirea altor îmbolnăviri se fac de către specialiștii autorităților de sănătate publică teritoriale, în colaborare cu inspectorii din inspectoratele teritoriale de muncă.</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Declararea bolilor profesionale se face pe baza procesului-verbal de cercetare.</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Bolile profesionale nou-declarate se raportează lunar de către autoritatea de sănătate publică teritorială și a municipiului București la Centrul național de coordonare metodologică și informare privind bolile profesionale din cadrul Institutului de Sănătate Publică București, la Centrul de Calcul și Statistică Sanitară București, precum și la structurile teritoriale ale asigurătorului stabilit conform legii.</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Intoxicația acută profesională se declară, se cercetează și se înregistrează atât ca boală profesională, cât și ca accident de muncă.</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VIII. Evaluarea riscurilor de accidentare și/ sau îmbolnăvire profesională</w:t>
      </w:r>
    </w:p>
    <w:p>
      <w:pPr>
        <w:pStyle w:val="Heading1"/>
        <w:widowControl/>
        <w:numPr>
          <w:ilvl w:val="0"/>
          <w:numId w:val="9"/>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(Preluare din H.G. 1425/2006 – Art. 15 alin. (3)) </w:t>
      </w:r>
      <w:r>
        <w:rPr>
          <w:rStyle w:val="tal1"/>
          <w:rFonts w:eastAsia="Arial" w:cs="Arial" w:ascii="Arial" w:hAnsi="Arial"/>
          <w:b/>
          <w:bCs/>
          <w:color w:val="auto"/>
          <w:spacing w:val="0"/>
          <w:w w:val="100"/>
          <w:sz w:val="20"/>
          <w:szCs w:val="20"/>
          <w:lang w:val="ro-RO"/>
        </w:rPr>
        <w:t xml:space="preserve">Evaluarea riscurilor cu privire la securitatea și sănătatea în muncă la nivelul întreprinderii și/ sau unității, inclusiv pentru grupurile sensibile la riscuri specifice, trebuie revizuită, cel puțin, în următoarele situații:</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 xml:space="preserve">ori de câte ori intervin schimbări sau modificări în ceea ce privește tehnologia, echipamentele de muncă, substanțele ori preparatele chimice utilizate și amenajarea locurilor de muncă/ posturilor de muncă;</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după producerea unui eveniment;</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la constatarea omiterii unor riscuri sau la apariția unor riscuri noi;</w:t>
      </w:r>
    </w:p>
    <w:p>
      <w:pPr>
        <w:pStyle w:val="Normal"/>
        <w:widowControl/>
        <w:numPr>
          <w:ilvl w:val="2"/>
          <w:numId w:val="9"/>
        </w:numPr>
        <w:spacing w:before="0" w:after="4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la utilizarea postului de lucru de către un lucrător aparținând grupurilor sensibile la riscuri specifice;</w:t>
      </w:r>
    </w:p>
    <w:p>
      <w:pPr>
        <w:pStyle w:val="Normal"/>
        <w:widowControl/>
        <w:numPr>
          <w:ilvl w:val="2"/>
          <w:numId w:val="9"/>
        </w:numPr>
        <w:spacing w:before="0" w:after="120"/>
        <w:jc w:val="left"/>
        <w:rPr>
          <w:rFonts w:ascii="Arial" w:hAnsi="Arial" w:cs="Arial"/>
          <w:sz w:val="18"/>
          <w:szCs w:val="18"/>
          <w:lang w:val="es-ES_tradnl"/>
        </w:rPr>
      </w:pPr>
      <w:r>
        <w:rPr>
          <w:rStyle w:val="tli1"/>
          <w:rFonts w:eastAsia="Arial" w:cs="Arial" w:ascii="Arial" w:hAnsi="Arial"/>
          <w:bCs/>
          <w:color w:val="auto"/>
          <w:spacing w:val="0"/>
          <w:w w:val="100"/>
          <w:sz w:val="20"/>
          <w:szCs w:val="20"/>
          <w:lang w:val="ro-RO"/>
        </w:rPr>
        <w:t>la executarea unor lucrări speciale.</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 xml:space="preserve">Capitolul IX. Informații privind </w:t>
      </w:r>
      <w:r>
        <w:rPr>
          <w:rStyle w:val="tpt1"/>
          <w:rFonts w:eastAsia="Arial" w:cs="Arial" w:ascii="Arial" w:hAnsi="Arial"/>
          <w:b/>
          <w:color w:val="auto"/>
          <w:spacing w:val="0"/>
          <w:w w:val="100"/>
          <w:sz w:val="20"/>
          <w:szCs w:val="20"/>
          <w:lang w:val="ro-RO"/>
        </w:rPr>
        <w:t>necesarul, întocmirea și implementarea necesarului de documentații cu caracter tehnic de informare și instruire a lucrătorilor în domeniul securității și sănătății în muncă</w:t>
      </w:r>
    </w:p>
    <w:p>
      <w:pPr>
        <w:pStyle w:val="Normal"/>
        <w:widowControl/>
        <w:numPr>
          <w:ilvl w:val="0"/>
          <w:numId w:val="9"/>
        </w:numPr>
        <w:spacing w:before="120" w:after="60"/>
        <w:jc w:val="left"/>
        <w:rPr>
          <w:rFonts w:ascii="Arial" w:hAnsi="Arial" w:cs="Arial"/>
          <w:sz w:val="18"/>
          <w:szCs w:val="18"/>
          <w:lang w:val="de-DE"/>
        </w:rPr>
      </w:pPr>
      <w:r>
        <w:rPr>
          <w:rStyle w:val="tpt1"/>
          <w:rFonts w:eastAsia="Arial" w:cs="Arial" w:ascii="Arial" w:hAnsi="Arial"/>
          <w:color w:val="auto"/>
          <w:spacing w:val="0"/>
          <w:w w:val="100"/>
          <w:sz w:val="20"/>
          <w:szCs w:val="20"/>
          <w:lang w:val="ro-RO"/>
        </w:rPr>
        <w:t xml:space="preserve">Întocmirea unui necesar de documentații cu caracter tehnic de informare și instruire a lucrătorilor în domeniul securității și sănătății în muncă, </w:t>
      </w:r>
      <w:r>
        <w:rPr>
          <w:rFonts w:eastAsia="Arial" w:cs="Arial" w:ascii="Arial" w:hAnsi="Arial"/>
          <w:color w:val="auto"/>
          <w:spacing w:val="0"/>
          <w:w w:val="100"/>
          <w:sz w:val="20"/>
          <w:szCs w:val="20"/>
          <w:lang w:val="ro-RO"/>
        </w:rPr>
        <w:t xml:space="preserve">conform prevederilor H.G. 1425/2006 – Art. 15 alin. (1), punctul 6, are ca scop oferirea de informații pentru ușurarea desfășurării activităților de prevenire și protecție.</w:t>
      </w:r>
    </w:p>
    <w:p>
      <w:pPr>
        <w:pStyle w:val="Normal"/>
        <w:widowControl/>
        <w:numPr>
          <w:ilvl w:val="0"/>
          <w:numId w:val="9"/>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Cerințele minime de securitate și sănătate în muncă oferă informații concrete, informații aplicabile în funcție de domeniile de activitate în care unitatea își desfășoară activitatea, conform tabelelor de mai jos (tabel 1, 2, 3), astfel:</w:t>
      </w:r>
    </w:p>
    <w:p>
      <w:pPr>
        <w:pStyle w:val="Normal"/>
        <w:keepNext w:val="true"/>
        <w:widowControl/>
        <w:spacing w:before="240" w:after="120"/>
        <w:ind w:hanging="0"/>
        <w:jc w:val="center"/>
        <w:rPr>
          <w:rFonts w:ascii="Arial" w:hAnsi="Arial" w:cs="Arial"/>
          <w:sz w:val="18"/>
          <w:szCs w:val="18"/>
          <w:lang w:val="pt-PT"/>
        </w:rPr>
      </w:pPr>
      <w:r>
        <w:rPr>
          <w:rFonts w:eastAsia="Arial" w:cs="Arial" w:ascii="Arial" w:hAnsi="Arial"/>
          <w:b/>
          <w:color w:val="auto"/>
          <w:spacing w:val="0"/>
          <w:w w:val="100"/>
          <w:sz w:val="20"/>
          <w:szCs w:val="20"/>
          <w:lang w:val="ro-RO"/>
        </w:rPr>
        <w:t>TABEL 1. ACTE NORMATIVE ÎN DOMENIUL SECURITĂȚII ȘI SĂNĂTĂȚII ÎN MUNCĂ</w:t>
      </w:r>
    </w:p>
    <w:tbl>
      <w:tblPr>
        <w:tblW w:w="5000" w:type="pct"/>
        <w:jc w:val="left"/>
        <w:tblInd w:w="55" w:type="dxa"/>
        <w:tblLayout w:type="fixed"/>
        <w:tblCellMar>
          <w:top w:w="55" w:type="dxa"/>
          <w:left w:w="55" w:type="dxa"/>
          <w:bottom w:w="55" w:type="dxa"/>
          <w:right w:w="55" w:type="dxa"/>
        </w:tblCellMar>
      </w:tblPr>
      <w:tblGrid>
        <w:gridCol w:w="654"/>
        <w:gridCol w:w="2152"/>
        <w:gridCol w:w="6549"/>
      </w:tblGrid>
      <w:tr>
        <w:trPr>
          <w:tblHeader w:val="true"/>
          <w:cantSplit/>
        </w:trPr>
        <w:tc>
          <w:tcPr>
            <w:tcW w:w="654"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2152"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Denumirea actului normativ</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Informații concrete oferite de actul normativ</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Legea 319/2006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Legea securității și sănătății în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2.</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1425/2006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Normele metodologice de aplicare a prevederilor Legii 319/2006</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3.</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557/2007</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Completarea măsurilor destinate să promoveze îmbunătățirea securității și sănătății la locul de muncă pentru salariații încadrați în baza unui contract individual de muncă pe durată determinată și pentru salariații temporari încadrați la agenți de muncă temporară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4.</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355/2007</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Supravegherea sănătății lucrătorilor (MEDICINA MUNCII)</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5.</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1876/2005</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referitoare la expunerea lucrătorilor la riscurile generate de vibrații</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6.</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300/2006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pentru șantierele temporare sau mobile</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7.</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493/2006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referitoare la expunerea lucrătorilor la riscurile generate de zgomot</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8.</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971/2006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Cerințele minime pentru semnalizarea de securitate și/ sau de sănătate la locul de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9.</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1028/2006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în muncă referitoare la utilizarea echipamentelor cu ecran de vizualizare</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10.</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1048/2006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pentru utilizarea de către lucrători a echipamentelor individuale de protecție la locul de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11.</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1049/2006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Cerințele minime pentru asigurarea securității și sănătății lucrătorilor din industria extractivă de suprafață sau subteran</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12.</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1051/2006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pentru manipularea manuală a maselor care prezintă riscuri pentru lucrători, în special de afecțiuni dorsolombare</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13.</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1058/2006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Cerințele minime pentru îmbunătățirea securității și protecția sănătății lucrătorilor care pot fi expuși unui potențial risc datorat atmosferelor explozive</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14.</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1091/2006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Cerințele minime de securitate și sănătate pentru locul de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15.</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1092/2006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Protecția lucrătorilor împotriva riscurilor legate de expunerea lor la agenți biologici în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16.</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1093/2006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Cerințele minime de securitate și sănătate pentru protecția lucrătorilor împotriva riscurilor legate de expunerea la locul de muncă la agenți cancerigeni sau mutageni ori la substanțe toxice pentru reproducere</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17.</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H.G. 520/2016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Cerințele minime de securitate și sănătate referitoare la expunerea lucrătorilor la riscuri generate de câmpuri electromagnetice</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18.</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1146/2006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Cerințele minime de securitate și sănătate pentru utilizarea în muncă de către lucrători a echipamentelor de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19.</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1218/2006</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ascii="Arial" w:hAnsi="Arial" w:cs="Arial" w:eastAsia="Arial"/>
                <w:color w:val="auto"/>
                <w:sz w:val="20"/>
                <w:szCs w:val="20"/>
                <w:lang w:val="ro-RO"/>
              </w:rPr>
              <w:t xml:space="preserve">Cerințele minime de securitate și sănătate în muncă pentru asigurarea protecției lucrătorilor împotriva riscurilor legate de prezența agenților chimici</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20.</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600/2007</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Protecția tinerilor la locul de muncă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21.</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H.G. 1875/2005</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Protecția sănătății și securității lucrătorilor față de riscurile datorate expunerii la azbest</w:t>
            </w:r>
          </w:p>
        </w:tc>
      </w:tr>
    </w:tbl>
    <w:p>
      <w:pPr>
        <w:pStyle w:val="Normal"/>
        <w:keepNext w:val="true"/>
        <w:widowControl/>
        <w:spacing w:before="240" w:after="120"/>
        <w:ind w:hanging="0"/>
        <w:jc w:val="center"/>
        <w:rPr>
          <w:rFonts w:ascii="Arial" w:hAnsi="Arial" w:cs="Arial"/>
          <w:sz w:val="18"/>
          <w:szCs w:val="18"/>
          <w:lang w:val="pt-PT"/>
        </w:rPr>
      </w:pPr>
      <w:r>
        <w:rPr>
          <w:rFonts w:eastAsia="Arial" w:cs="Arial" w:ascii="Arial" w:hAnsi="Arial"/>
          <w:b/>
          <w:color w:val="auto"/>
          <w:spacing w:val="0"/>
          <w:w w:val="100"/>
          <w:sz w:val="20"/>
          <w:szCs w:val="20"/>
          <w:lang w:val="ro-RO"/>
        </w:rPr>
        <w:t>TABEL 2. DOCUMENTE CU CARACTER INTERN DE INFORMARE</w:t>
      </w:r>
    </w:p>
    <w:tbl>
      <w:tblPr>
        <w:tblW w:w="5000" w:type="pct"/>
        <w:jc w:val="left"/>
        <w:tblInd w:w="55" w:type="dxa"/>
        <w:tblLayout w:type="fixed"/>
        <w:tblCellMar>
          <w:top w:w="55" w:type="dxa"/>
          <w:left w:w="55" w:type="dxa"/>
          <w:bottom w:w="55" w:type="dxa"/>
          <w:right w:w="55" w:type="dxa"/>
        </w:tblCellMar>
      </w:tblPr>
      <w:tblGrid>
        <w:gridCol w:w="654"/>
        <w:gridCol w:w="2152"/>
        <w:gridCol w:w="6549"/>
      </w:tblGrid>
      <w:tr>
        <w:trPr>
          <w:tblHeader w:val="true"/>
          <w:cantSplit/>
        </w:trPr>
        <w:tc>
          <w:tcPr>
            <w:tcW w:w="654"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2152"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 xml:space="preserve">Denumirea documentului</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Informații concrete oferite de document</w:t>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1.</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Cărți tehnice</w:t>
            </w:r>
          </w:p>
        </w:tc>
        <w:tc>
          <w:tcPr>
            <w:tcW w:w="6549" w:type="dxa"/>
            <w:vMerge w:val="restart"/>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Toate informațiile necesare privind modul de utilizare, depozitarea, întreținerea și mentenanța, specificațiile tehnice, principiile de funcționare și sistemele de control și securitate, obligațiile și atenționările specifice, pentru fiecare echipament de muncă din dotarea unității, astfel încât acesta să fie folosit eficient și fără accidente.</w:t>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2.</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Manuale de utilizare</w:t>
            </w:r>
          </w:p>
        </w:tc>
        <w:tc>
          <w:tcPr>
            <w:tcW w:w="6549" w:type="dxa"/>
            <w:vMerge w:val="continue"/>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3.</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MISSMIG</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Material de instruire în domeniul securității și sănătății în muncă pentru instruirea introductiv-generală</w:t>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4.</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IPSSM</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Instrucțiuni proprii în domeniul securității și sănătății în muncă</w:t>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5.</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TISSM</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Tematica de instruire și programul de instruire – testare la nivelul unității în domeniul securității și sănătății în muncă</w:t>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6.</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LN E.I.P.</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Lista internă cu necesarul de dotare cu echipament individual de protecție (E.I.P.) a lucrătorilor</w:t>
            </w:r>
          </w:p>
        </w:tc>
      </w:tr>
      <w:tr>
        <w:trPr>
          <w:cantSplit/>
        </w:trPr>
        <w:tc>
          <w:tcPr>
            <w:tcW w:w="654"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7.</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EVR</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Evaluarea riscurilor de accidentare și/ sau îmbolnăvire profesională</w:t>
            </w:r>
          </w:p>
        </w:tc>
      </w:tr>
      <w:tr>
        <w:trPr>
          <w:cantSplit/>
        </w:trPr>
        <w:tc>
          <w:tcPr>
            <w:tcW w:w="654"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8.</w:t>
            </w:r>
          </w:p>
        </w:tc>
        <w:tc>
          <w:tcPr>
            <w:tcW w:w="2152"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PPP</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Planul de prevenire și protecție</w:t>
            </w:r>
          </w:p>
        </w:tc>
      </w:tr>
    </w:tbl>
    <w:p>
      <w:pPr>
        <w:pStyle w:val="Normal"/>
        <w:keepNext w:val="true"/>
        <w:widowControl/>
        <w:spacing w:before="240" w:after="120"/>
        <w:ind w:hanging="0"/>
        <w:jc w:val="center"/>
        <w:rPr>
          <w:rFonts w:ascii="Arial" w:hAnsi="Arial" w:cs="Arial"/>
          <w:sz w:val="18"/>
          <w:szCs w:val="18"/>
          <w:lang w:val="pt-PT"/>
        </w:rPr>
      </w:pPr>
      <w:r>
        <w:rPr>
          <w:rFonts w:eastAsia="Arial" w:cs="Arial" w:ascii="Arial" w:hAnsi="Arial"/>
          <w:b/>
          <w:color w:val="auto"/>
          <w:spacing w:val="0"/>
          <w:w w:val="100"/>
          <w:sz w:val="20"/>
          <w:szCs w:val="20"/>
          <w:lang w:val="ro-RO"/>
        </w:rPr>
        <w:t>TABEL 3. ALTE MATERIALE INFORMATIVE</w:t>
      </w:r>
    </w:p>
    <w:tbl>
      <w:tblPr>
        <w:tblW w:w="5000" w:type="pct"/>
        <w:jc w:val="left"/>
        <w:tblInd w:w="55" w:type="dxa"/>
        <w:tblLayout w:type="fixed"/>
        <w:tblCellMar>
          <w:top w:w="55" w:type="dxa"/>
          <w:left w:w="55" w:type="dxa"/>
          <w:bottom w:w="55" w:type="dxa"/>
          <w:right w:w="55" w:type="dxa"/>
        </w:tblCellMar>
      </w:tblPr>
      <w:tblGrid>
        <w:gridCol w:w="654"/>
        <w:gridCol w:w="2152"/>
        <w:gridCol w:w="1203"/>
        <w:gridCol w:w="980"/>
        <w:gridCol w:w="1203"/>
        <w:gridCol w:w="980"/>
        <w:gridCol w:w="1203"/>
        <w:gridCol w:w="980"/>
      </w:tblGrid>
      <w:tr>
        <w:trPr>
          <w:tblHeader w:val="true"/>
          <w:cantSplit/>
          <w:trHeight w:val="46" w:hRule="atLeast"/>
        </w:trPr>
        <w:tc>
          <w:tcPr>
            <w:tcW w:w="654" w:type="dxa"/>
            <w:tcBorders>
              <w:top w:val="single" w:sz="4" w:space="0" w:color="000000"/>
              <w:left w:val="single" w:sz="4" w:space="0" w:color="000000"/>
              <w:bottom w:val="single" w:sz="4" w:space="0" w:color="000000"/>
            </w:tcBorders>
            <w:vAlign w:val="center"/>
          </w:tcPr>
          <w:p>
            <w:pPr>
              <w:pStyle w:val="Normal"/>
              <w:keepNext w:val="true"/>
              <w:widowControl/>
              <w:spacing w:before="0" w:after="0"/>
              <w:jc w:val="center"/>
              <w:rPr>
                <w:rFonts w:ascii="Arial" w:hAnsi="Arial" w:cs="Arial"/>
                <w:b/>
                <w:sz w:val="18"/>
                <w:szCs w:val="18"/>
                <w:lang w:val="pt-PT"/>
              </w:rPr>
            </w:pPr>
            <w:r>
              <w:rPr>
                <w:rFonts w:eastAsia="Arial" w:cs="Arial" w:ascii="Arial" w:hAnsi="Arial"/>
                <w:b/>
                <w:color w:val="auto"/>
                <w:spacing w:val="0"/>
                <w:w w:val="100"/>
                <w:sz w:val="18"/>
                <w:szCs w:val="20"/>
                <w:lang w:val="ro-RO"/>
              </w:rPr>
              <w:t>Nr. crt.</w:t>
            </w:r>
          </w:p>
        </w:tc>
        <w:tc>
          <w:tcPr>
            <w:tcW w:w="2152" w:type="dxa"/>
            <w:tcBorders>
              <w:top w:val="single" w:sz="4" w:space="0" w:color="000000"/>
              <w:left w:val="single" w:sz="4" w:space="0" w:color="000000"/>
              <w:bottom w:val="single" w:sz="4" w:space="0" w:color="000000"/>
            </w:tcBorders>
            <w:vAlign w:val="center"/>
          </w:tcPr>
          <w:p>
            <w:pPr>
              <w:pStyle w:val="Normal"/>
              <w:widowControl/>
              <w:spacing w:before="0" w:after="0"/>
              <w:jc w:val="center"/>
              <w:rPr>
                <w:rFonts w:ascii="Arial" w:hAnsi="Arial" w:cs="Arial"/>
                <w:b/>
                <w:sz w:val="18"/>
                <w:szCs w:val="18"/>
                <w:lang w:val="pt-PT"/>
              </w:rPr>
            </w:pPr>
            <w:r>
              <w:rPr>
                <w:rFonts w:eastAsia="Arial" w:cs="Arial" w:ascii="Arial" w:hAnsi="Arial"/>
                <w:b/>
                <w:color w:val="auto"/>
                <w:spacing w:val="0"/>
                <w:w w:val="100"/>
                <w:sz w:val="18"/>
                <w:szCs w:val="20"/>
                <w:lang w:val="ro-RO"/>
              </w:rPr>
              <w:t>Denumirea materialului informativ</w:t>
            </w:r>
          </w:p>
        </w:tc>
        <w:tc>
          <w:tcPr>
            <w:tcW w:w="6549"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b/>
                <w:sz w:val="18"/>
                <w:szCs w:val="18"/>
                <w:lang w:val="pt-PT"/>
              </w:rPr>
            </w:pPr>
            <w:r>
              <w:rPr>
                <w:rFonts w:eastAsia="Arial" w:cs="Arial" w:ascii="Arial" w:hAnsi="Arial"/>
                <w:b/>
                <w:color w:val="auto"/>
                <w:spacing w:val="0"/>
                <w:w w:val="100"/>
                <w:sz w:val="18"/>
                <w:szCs w:val="20"/>
                <w:lang w:val="ro-RO"/>
              </w:rPr>
              <w:t>Informații concrete oferite de materialul informativ</w:t>
            </w:r>
          </w:p>
        </w:tc>
      </w:tr>
      <w:tr>
        <w:trPr>
          <w:cantSplit/>
          <w:trHeight w:val="46" w:hRule="atLeast"/>
        </w:trPr>
        <w:tc>
          <w:tcPr>
            <w:tcW w:w="654" w:type="dxa"/>
            <w:vMerge w:val="restart"/>
            <w:tcBorders>
              <w:left w:val="single" w:sz="4" w:space="0" w:color="000000"/>
              <w:bottom w:val="single" w:sz="4" w:space="0" w:color="000000"/>
            </w:tcBorders>
            <w:vAlign w:val="center"/>
          </w:tcPr>
          <w:p>
            <w:pPr>
              <w:pStyle w:val="Normal"/>
              <w:keepNext w:val="true"/>
              <w:widowControl/>
              <w:snapToGrid w:val="false"/>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t>1.</w:t>
            </w:r>
          </w:p>
        </w:tc>
        <w:tc>
          <w:tcPr>
            <w:tcW w:w="2152" w:type="dxa"/>
            <w:vMerge w:val="restart"/>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t>STOC DE MIJLOACE DE SEMNALIZARE</w:t>
            </w:r>
          </w:p>
        </w:tc>
        <w:tc>
          <w:tcPr>
            <w:tcW w:w="2183" w:type="dxa"/>
            <w:gridSpan w:val="2"/>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b/>
                <w:color w:val="auto"/>
                <w:spacing w:val="0"/>
                <w:w w:val="100"/>
                <w:sz w:val="18"/>
                <w:szCs w:val="20"/>
                <w:lang w:val="ro-RO"/>
              </w:rPr>
              <w:t>TIP SEMNALIZARE</w:t>
            </w:r>
          </w:p>
        </w:tc>
        <w:tc>
          <w:tcPr>
            <w:tcW w:w="2183" w:type="dxa"/>
            <w:gridSpan w:val="2"/>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b/>
                <w:color w:val="auto"/>
                <w:spacing w:val="0"/>
                <w:w w:val="100"/>
                <w:sz w:val="18"/>
                <w:szCs w:val="20"/>
                <w:lang w:val="ro-RO"/>
              </w:rPr>
              <w:t>TIP SEMNALIZARE</w:t>
            </w:r>
          </w:p>
        </w:tc>
        <w:tc>
          <w:tcPr>
            <w:tcW w:w="2183" w:type="dxa"/>
            <w:gridSpan w:val="2"/>
            <w:tcBorders>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b/>
                <w:color w:val="auto"/>
                <w:spacing w:val="0"/>
                <w:w w:val="100"/>
                <w:sz w:val="18"/>
                <w:szCs w:val="20"/>
                <w:lang w:val="ro-RO"/>
              </w:rPr>
              <w:t>TIP SEMNALIZARE</w:t>
            </w:r>
          </w:p>
        </w:tc>
      </w:tr>
      <w:tr>
        <w:trPr>
          <w:cantSplit/>
          <w:trHeight w:val="569" w:hRule="atLeast"/>
        </w:trPr>
        <w:tc>
          <w:tcPr>
            <w:tcW w:w="654" w:type="dxa"/>
            <w:vMerge w:val="continue"/>
            <w:tcBorders>
              <w:left w:val="single" w:sz="4" w:space="0" w:color="000000"/>
              <w:bottom w:val="single" w:sz="4" w:space="0" w:color="000000"/>
            </w:tcBorders>
            <w:vAlign w:val="center"/>
          </w:tcPr>
          <w:p>
            <w:pPr>
              <w:pStyle w:val="Normal"/>
              <w:keepNext w:val="true"/>
              <w:snapToGrid w:val="false"/>
              <w:jc w:val="center"/>
              <w:rPr>
                <w:rFonts w:ascii="Arial" w:hAnsi="Arial" w:cs="Arial"/>
                <w:sz w:val="18"/>
                <w:szCs w:val="18"/>
                <w:lang w:val="pt-PT"/>
              </w:rPr>
            </w:pPr>
            <w:r>
              <w:rPr>
                <w:rFonts w:eastAsia="Arial" w:cs="Arial" w:ascii="Arial" w:hAnsi="Arial"/>
                <w:color w:val="auto"/>
                <w:spacing w:val="0"/>
                <w:w w:val="100"/>
                <w:sz w:val="20"/>
                <w:szCs w:val="20"/>
                <w:lang w:val="ro-RO"/>
              </w:rPr>
            </w:r>
          </w:p>
        </w:tc>
        <w:tc>
          <w:tcPr>
            <w:tcW w:w="2152" w:type="dxa"/>
            <w:vMerge w:val="continue"/>
            <w:tcBorders>
              <w:left w:val="single" w:sz="4" w:space="0" w:color="000000"/>
              <w:bottom w:val="single" w:sz="4" w:space="0" w:color="000000"/>
            </w:tcBorders>
            <w:vAlign w:val="center"/>
          </w:tcPr>
          <w:p>
            <w:pPr>
              <w:pStyle w:val="Normal"/>
              <w:snapToGrid w:val="false"/>
              <w:jc w:val="center"/>
              <w:rPr>
                <w:rFonts w:ascii="Arial" w:hAnsi="Arial" w:cs="Arial"/>
                <w:sz w:val="18"/>
                <w:szCs w:val="18"/>
                <w:lang w:val="pt-PT"/>
              </w:rPr>
            </w:pPr>
            <w:r>
              <w:rPr>
                <w:rFonts w:eastAsia="Arial" w:cs="Arial" w:ascii="Arial" w:hAnsi="Arial"/>
                <w:color w:val="auto"/>
                <w:spacing w:val="0"/>
                <w:w w:val="100"/>
                <w:sz w:val="20"/>
                <w:szCs w:val="20"/>
                <w:lang w:val="ro-RO"/>
              </w:rPr>
            </w:r>
          </w:p>
        </w:tc>
        <w:tc>
          <w:tcPr>
            <w:tcW w:w="1203" w:type="dxa"/>
            <w:tcBorders>
              <w:left w:val="single" w:sz="4" w:space="0" w:color="000000"/>
              <w:bottom w:val="single" w:sz="4" w:space="0" w:color="000000"/>
            </w:tcBorders>
            <w:vAlign w:val="center"/>
          </w:tcPr>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INTERZICERE</w:t>
            </w:r>
          </w:p>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PERICOL</w:t>
            </w:r>
          </w:p>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PSI</w:t>
            </w:r>
          </w:p>
        </w:tc>
        <w:tc>
          <w:tcPr>
            <w:tcW w:w="980" w:type="dxa"/>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8"/>
                <w:szCs w:val="20"/>
                <w:lang w:val="ro-RO"/>
              </w:rPr>
              <w:drawing>
                <wp:inline distT="0" distB="0" distL="0" distR="0">
                  <wp:extent cx="415925" cy="4159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5" t="-15" r="-15" b="-15"/>
                          <a:stretch>
                            <a:fillRect/>
                          </a:stretch>
                        </pic:blipFill>
                        <pic:spPr bwMode="auto">
                          <a:xfrm>
                            <a:off x="0" y="0"/>
                            <a:ext cx="415925" cy="415925"/>
                          </a:xfrm>
                          <a:prstGeom prst="rect">
                            <a:avLst/>
                          </a:prstGeom>
                          <a:noFill/>
                        </pic:spPr>
                      </pic:pic>
                    </a:graphicData>
                  </a:graphic>
                </wp:inline>
              </w:drawing>
            </w:r>
          </w:p>
        </w:tc>
        <w:tc>
          <w:tcPr>
            <w:tcW w:w="1203" w:type="dxa"/>
            <w:tcBorders>
              <w:left w:val="single" w:sz="4" w:space="0" w:color="000000"/>
              <w:bottom w:val="single" w:sz="4" w:space="0" w:color="000000"/>
            </w:tcBorders>
            <w:vAlign w:val="center"/>
          </w:tcPr>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AVERTIZARE</w:t>
            </w:r>
          </w:p>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ATENȚIONARE</w:t>
            </w:r>
          </w:p>
        </w:tc>
        <w:tc>
          <w:tcPr>
            <w:tcW w:w="980" w:type="dxa"/>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drawing>
                <wp:inline distT="0" distB="0" distL="0" distR="0">
                  <wp:extent cx="452120" cy="3968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15" t="-18" r="-15" b="-18"/>
                          <a:stretch>
                            <a:fillRect/>
                          </a:stretch>
                        </pic:blipFill>
                        <pic:spPr bwMode="auto">
                          <a:xfrm>
                            <a:off x="0" y="0"/>
                            <a:ext cx="452120" cy="396875"/>
                          </a:xfrm>
                          <a:prstGeom prst="rect">
                            <a:avLst/>
                          </a:prstGeom>
                          <a:noFill/>
                        </pic:spPr>
                      </pic:pic>
                    </a:graphicData>
                  </a:graphic>
                </wp:inline>
              </w:drawing>
            </w:r>
          </w:p>
        </w:tc>
        <w:tc>
          <w:tcPr>
            <w:tcW w:w="1203" w:type="dxa"/>
            <w:tcBorders>
              <w:left w:val="single" w:sz="4" w:space="0" w:color="000000"/>
              <w:bottom w:val="single" w:sz="4" w:space="0" w:color="000000"/>
            </w:tcBorders>
            <w:vAlign w:val="center"/>
          </w:tcPr>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OBLIGATIVI</w:t>
              <w:softHyphen/>
              <w:t>TATE</w:t>
            </w:r>
          </w:p>
        </w:tc>
        <w:tc>
          <w:tcPr>
            <w:tcW w:w="980" w:type="dxa"/>
            <w:tcBorders>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drawing>
                <wp:inline distT="0" distB="0" distL="0" distR="0">
                  <wp:extent cx="387985" cy="38798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7" t="-7" r="-7" b="-7"/>
                          <a:stretch>
                            <a:fillRect/>
                          </a:stretch>
                        </pic:blipFill>
                        <pic:spPr bwMode="auto">
                          <a:xfrm>
                            <a:off x="0" y="0"/>
                            <a:ext cx="387985" cy="387985"/>
                          </a:xfrm>
                          <a:prstGeom prst="rect">
                            <a:avLst/>
                          </a:prstGeom>
                          <a:noFill/>
                        </pic:spPr>
                      </pic:pic>
                    </a:graphicData>
                  </a:graphic>
                </wp:inline>
              </w:drawing>
            </w:r>
          </w:p>
        </w:tc>
      </w:tr>
      <w:tr>
        <w:trPr>
          <w:cantSplit/>
          <w:trHeight w:val="46" w:hRule="atLeast"/>
        </w:trPr>
        <w:tc>
          <w:tcPr>
            <w:tcW w:w="654" w:type="dxa"/>
            <w:vMerge w:val="continue"/>
            <w:tcBorders>
              <w:left w:val="single" w:sz="4" w:space="0" w:color="000000"/>
              <w:bottom w:val="single" w:sz="4" w:space="0" w:color="000000"/>
            </w:tcBorders>
            <w:vAlign w:val="center"/>
          </w:tcPr>
          <w:p>
            <w:pPr>
              <w:pStyle w:val="Normal"/>
              <w:keepNext w:val="true"/>
              <w:snapToGrid w:val="false"/>
              <w:jc w:val="center"/>
              <w:rPr>
                <w:rFonts w:ascii="Arial" w:hAnsi="Arial" w:cs="Arial"/>
                <w:sz w:val="18"/>
                <w:szCs w:val="18"/>
                <w:lang w:val="pt-PT"/>
              </w:rPr>
            </w:pPr>
            <w:r>
              <w:rPr>
                <w:rFonts w:eastAsia="Arial" w:cs="Arial" w:ascii="Arial" w:hAnsi="Arial"/>
                <w:color w:val="auto"/>
                <w:spacing w:val="0"/>
                <w:w w:val="100"/>
                <w:sz w:val="20"/>
                <w:szCs w:val="20"/>
                <w:lang w:val="ro-RO"/>
              </w:rPr>
            </w:r>
          </w:p>
        </w:tc>
        <w:tc>
          <w:tcPr>
            <w:tcW w:w="2152" w:type="dxa"/>
            <w:vMerge w:val="continue"/>
            <w:tcBorders>
              <w:left w:val="single" w:sz="4" w:space="0" w:color="000000"/>
              <w:bottom w:val="single" w:sz="4" w:space="0" w:color="000000"/>
            </w:tcBorders>
            <w:vAlign w:val="center"/>
          </w:tcPr>
          <w:p>
            <w:pPr>
              <w:pStyle w:val="Normal"/>
              <w:snapToGrid w:val="false"/>
              <w:jc w:val="center"/>
              <w:rPr>
                <w:rFonts w:ascii="Arial" w:hAnsi="Arial" w:cs="Arial"/>
                <w:sz w:val="18"/>
                <w:szCs w:val="18"/>
                <w:lang w:val="pt-PT"/>
              </w:rPr>
            </w:pPr>
            <w:r>
              <w:rPr>
                <w:rFonts w:eastAsia="Arial" w:cs="Arial" w:ascii="Arial" w:hAnsi="Arial"/>
                <w:color w:val="auto"/>
                <w:spacing w:val="0"/>
                <w:w w:val="100"/>
                <w:sz w:val="20"/>
                <w:szCs w:val="20"/>
                <w:lang w:val="ro-RO"/>
              </w:rPr>
            </w:r>
          </w:p>
        </w:tc>
        <w:tc>
          <w:tcPr>
            <w:tcW w:w="2183" w:type="dxa"/>
            <w:gridSpan w:val="2"/>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b/>
                <w:color w:val="auto"/>
                <w:spacing w:val="0"/>
                <w:w w:val="100"/>
                <w:sz w:val="18"/>
                <w:szCs w:val="20"/>
                <w:lang w:val="ro-RO"/>
              </w:rPr>
              <w:t>TIP SEMNALIZARE</w:t>
            </w:r>
          </w:p>
        </w:tc>
        <w:tc>
          <w:tcPr>
            <w:tcW w:w="2183" w:type="dxa"/>
            <w:gridSpan w:val="2"/>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b/>
                <w:color w:val="auto"/>
                <w:spacing w:val="0"/>
                <w:w w:val="100"/>
                <w:sz w:val="18"/>
                <w:szCs w:val="20"/>
                <w:lang w:val="ro-RO"/>
              </w:rPr>
              <w:t>TIP SEMNALIZARE</w:t>
            </w:r>
          </w:p>
        </w:tc>
        <w:tc>
          <w:tcPr>
            <w:tcW w:w="2183" w:type="dxa"/>
            <w:gridSpan w:val="2"/>
            <w:tcBorders>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b/>
                <w:color w:val="auto"/>
                <w:spacing w:val="0"/>
                <w:w w:val="100"/>
                <w:sz w:val="18"/>
                <w:szCs w:val="20"/>
                <w:lang w:val="ro-RO"/>
              </w:rPr>
              <w:t>TIP SEMNALIZARE</w:t>
            </w:r>
          </w:p>
        </w:tc>
      </w:tr>
      <w:tr>
        <w:trPr>
          <w:cantSplit/>
          <w:trHeight w:val="569" w:hRule="atLeast"/>
        </w:trPr>
        <w:tc>
          <w:tcPr>
            <w:tcW w:w="654" w:type="dxa"/>
            <w:vMerge w:val="continue"/>
            <w:tcBorders>
              <w:left w:val="single" w:sz="4" w:space="0" w:color="000000"/>
              <w:bottom w:val="single" w:sz="4" w:space="0" w:color="000000"/>
            </w:tcBorders>
            <w:vAlign w:val="center"/>
          </w:tcPr>
          <w:p>
            <w:pPr>
              <w:pStyle w:val="Normal"/>
              <w:snapToGrid w:val="false"/>
              <w:jc w:val="center"/>
              <w:rPr>
                <w:rFonts w:ascii="Arial" w:hAnsi="Arial" w:cs="Arial"/>
                <w:sz w:val="18"/>
                <w:szCs w:val="18"/>
                <w:lang w:val="pt-PT"/>
              </w:rPr>
            </w:pPr>
            <w:r>
              <w:rPr>
                <w:rFonts w:eastAsia="Arial" w:cs="Arial" w:ascii="Arial" w:hAnsi="Arial"/>
                <w:color w:val="auto"/>
                <w:spacing w:val="0"/>
                <w:w w:val="100"/>
                <w:sz w:val="20"/>
                <w:szCs w:val="20"/>
                <w:lang w:val="ro-RO"/>
              </w:rPr>
            </w:r>
          </w:p>
        </w:tc>
        <w:tc>
          <w:tcPr>
            <w:tcW w:w="2152" w:type="dxa"/>
            <w:vMerge w:val="continue"/>
            <w:tcBorders>
              <w:left w:val="single" w:sz="4" w:space="0" w:color="000000"/>
              <w:bottom w:val="single" w:sz="4" w:space="0" w:color="000000"/>
            </w:tcBorders>
            <w:vAlign w:val="center"/>
          </w:tcPr>
          <w:p>
            <w:pPr>
              <w:pStyle w:val="Normal"/>
              <w:snapToGrid w:val="false"/>
              <w:jc w:val="center"/>
              <w:rPr>
                <w:rFonts w:ascii="Arial" w:hAnsi="Arial" w:cs="Arial"/>
                <w:sz w:val="18"/>
                <w:szCs w:val="18"/>
                <w:lang w:val="pt-PT"/>
              </w:rPr>
            </w:pPr>
            <w:r>
              <w:rPr>
                <w:rFonts w:eastAsia="Arial" w:cs="Arial" w:ascii="Arial" w:hAnsi="Arial"/>
                <w:color w:val="auto"/>
                <w:spacing w:val="0"/>
                <w:w w:val="100"/>
                <w:sz w:val="20"/>
                <w:szCs w:val="20"/>
                <w:lang w:val="ro-RO"/>
              </w:rPr>
            </w:r>
          </w:p>
        </w:tc>
        <w:tc>
          <w:tcPr>
            <w:tcW w:w="1203" w:type="dxa"/>
            <w:tcBorders>
              <w:left w:val="single" w:sz="4" w:space="0" w:color="000000"/>
              <w:bottom w:val="single" w:sz="4" w:space="0" w:color="000000"/>
            </w:tcBorders>
            <w:vAlign w:val="center"/>
          </w:tcPr>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SALVARE</w:t>
            </w:r>
          </w:p>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PRIM AJUTOR</w:t>
            </w:r>
          </w:p>
        </w:tc>
        <w:tc>
          <w:tcPr>
            <w:tcW w:w="980" w:type="dxa"/>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8"/>
                <w:szCs w:val="20"/>
                <w:lang w:val="ro-RO"/>
              </w:rPr>
              <w:drawing>
                <wp:inline distT="0" distB="0" distL="0" distR="0">
                  <wp:extent cx="429895" cy="42989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15" t="-15" r="-15" b="-15"/>
                          <a:stretch>
                            <a:fillRect/>
                          </a:stretch>
                        </pic:blipFill>
                        <pic:spPr bwMode="auto">
                          <a:xfrm>
                            <a:off x="0" y="0"/>
                            <a:ext cx="429895" cy="429895"/>
                          </a:xfrm>
                          <a:prstGeom prst="rect">
                            <a:avLst/>
                          </a:prstGeom>
                          <a:noFill/>
                        </pic:spPr>
                      </pic:pic>
                    </a:graphicData>
                  </a:graphic>
                </wp:inline>
              </w:drawing>
            </w:r>
          </w:p>
        </w:tc>
        <w:tc>
          <w:tcPr>
            <w:tcW w:w="1203" w:type="dxa"/>
            <w:tcBorders>
              <w:left w:val="single" w:sz="4" w:space="0" w:color="000000"/>
              <w:bottom w:val="single" w:sz="4" w:space="0" w:color="000000"/>
            </w:tcBorders>
            <w:vAlign w:val="center"/>
          </w:tcPr>
          <w:p>
            <w:pPr>
              <w:pStyle w:val="Normal"/>
              <w:widowControl/>
              <w:spacing w:before="0" w:after="0"/>
              <w:jc w:val="center"/>
              <w:rPr>
                <w:rFonts w:ascii="Arial" w:hAnsi="Arial" w:cs="Arial"/>
                <w:b/>
                <w:sz w:val="14"/>
                <w:szCs w:val="14"/>
                <w:lang w:val="pt-PT"/>
              </w:rPr>
            </w:pPr>
            <w:r>
              <w:rPr>
                <w:rStyle w:val="tsp1"/>
                <w:rFonts w:eastAsia="Arial" w:cs="Arial" w:ascii="Arial" w:hAnsi="Arial"/>
                <w:b/>
                <w:color w:val="auto"/>
                <w:spacing w:val="0"/>
                <w:w w:val="100"/>
                <w:sz w:val="14"/>
                <w:szCs w:val="20"/>
                <w:lang w:val="ro-RO"/>
              </w:rPr>
              <w:t>PREVENIREA ȘI STINGEREA INCENDIILOR</w:t>
            </w:r>
          </w:p>
        </w:tc>
        <w:tc>
          <w:tcPr>
            <w:tcW w:w="980" w:type="dxa"/>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drawing>
                <wp:inline distT="0" distB="0" distL="0" distR="0">
                  <wp:extent cx="415925" cy="4159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15" t="-15" r="-15" b="-15"/>
                          <a:stretch>
                            <a:fillRect/>
                          </a:stretch>
                        </pic:blipFill>
                        <pic:spPr bwMode="auto">
                          <a:xfrm>
                            <a:off x="0" y="0"/>
                            <a:ext cx="415925" cy="415925"/>
                          </a:xfrm>
                          <a:prstGeom prst="rect">
                            <a:avLst/>
                          </a:prstGeom>
                          <a:noFill/>
                        </pic:spPr>
                      </pic:pic>
                    </a:graphicData>
                  </a:graphic>
                </wp:inline>
              </w:drawing>
            </w:r>
          </w:p>
        </w:tc>
        <w:tc>
          <w:tcPr>
            <w:tcW w:w="1203" w:type="dxa"/>
            <w:tcBorders>
              <w:left w:val="single" w:sz="4" w:space="0" w:color="000000"/>
              <w:bottom w:val="single" w:sz="4" w:space="0" w:color="000000"/>
            </w:tcBorders>
            <w:vAlign w:val="center"/>
          </w:tcPr>
          <w:p>
            <w:pPr>
              <w:pStyle w:val="Normal"/>
              <w:widowControl/>
              <w:spacing w:before="0" w:after="0"/>
              <w:jc w:val="center"/>
              <w:rPr>
                <w:rFonts w:ascii="Arial" w:hAnsi="Arial" w:cs="Arial"/>
                <w:b/>
                <w:sz w:val="14"/>
                <w:szCs w:val="14"/>
                <w:lang w:val="pt-PT"/>
              </w:rPr>
            </w:pPr>
            <w:r>
              <w:rPr>
                <w:rFonts w:eastAsia="Arial" w:cs="Arial" w:ascii="Arial" w:hAnsi="Arial"/>
                <w:b/>
                <w:color w:val="auto"/>
                <w:spacing w:val="0"/>
                <w:w w:val="100"/>
                <w:sz w:val="14"/>
                <w:szCs w:val="20"/>
                <w:lang w:val="ro-RO"/>
              </w:rPr>
              <w:t>BENZI DE MARCAJ OCAZIONAT</w:t>
            </w:r>
          </w:p>
        </w:tc>
        <w:tc>
          <w:tcPr>
            <w:tcW w:w="980" w:type="dxa"/>
            <w:tcBorders>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drawing>
                <wp:inline distT="0" distB="0" distL="0" distR="0">
                  <wp:extent cx="524510" cy="31623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24510" cy="316230"/>
                          </a:xfrm>
                          <a:prstGeom prst="rect">
                            <a:avLst/>
                          </a:prstGeom>
                          <a:noFill/>
                          <a:ln w="6350">
                            <a:solidFill>
                              <a:srgbClr val="000000"/>
                            </a:solidFill>
                          </a:ln>
                        </pic:spPr>
                      </pic:pic>
                    </a:graphicData>
                  </a:graphic>
                </wp:inline>
              </w:drawing>
            </w:r>
          </w:p>
        </w:tc>
      </w:tr>
      <w:tr>
        <w:trPr>
          <w:cantSplit/>
          <w:trHeight w:val="53" w:hRule="atLeast"/>
        </w:trPr>
        <w:tc>
          <w:tcPr>
            <w:tcW w:w="654" w:type="dxa"/>
            <w:tcBorders>
              <w:left w:val="single" w:sz="4" w:space="0" w:color="000000"/>
              <w:bottom w:val="single" w:sz="4" w:space="0" w:color="000000"/>
            </w:tcBorders>
            <w:vAlign w:val="center"/>
          </w:tcPr>
          <w:p>
            <w:pPr>
              <w:pStyle w:val="Normal"/>
              <w:widowControl/>
              <w:snapToGrid w:val="false"/>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t>2.</w:t>
            </w:r>
          </w:p>
        </w:tc>
        <w:tc>
          <w:tcPr>
            <w:tcW w:w="2152" w:type="dxa"/>
            <w:tcBorders>
              <w:left w:val="single" w:sz="4" w:space="0" w:color="000000"/>
              <w:bottom w:val="single" w:sz="4"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18"/>
                <w:szCs w:val="20"/>
                <w:lang w:val="ro-RO"/>
              </w:rPr>
              <w:t>PANOURI INFORMATIVE</w:t>
            </w:r>
          </w:p>
        </w:tc>
        <w:tc>
          <w:tcPr>
            <w:tcW w:w="6549" w:type="dxa"/>
            <w:gridSpan w:val="6"/>
            <w:tcBorders>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pt-PT"/>
              </w:rPr>
            </w:pPr>
            <w:r>
              <w:rPr>
                <w:rFonts w:eastAsia="Arial" w:cs="Arial" w:ascii="Arial" w:hAnsi="Arial"/>
                <w:color w:val="auto"/>
                <w:spacing w:val="0"/>
                <w:w w:val="100"/>
                <w:sz w:val="18"/>
                <w:szCs w:val="20"/>
                <w:lang w:val="ro-RO"/>
              </w:rPr>
              <w:t>Se vor afișa panouri care vor informa cu privire la primul ajutor, stingerea incendiilor, măsuri de evacuare, instrucțiuni pentru echipamente de muncă, planuri de evacuare și alte informații utile în domeniul securității și sănătății în muncă și situații de urgență.</w:t>
            </w:r>
          </w:p>
          <w:p>
            <w:pPr>
              <w:pStyle w:val="Normal"/>
              <w:widowControl/>
              <w:spacing w:before="0" w:after="0"/>
              <w:rPr>
                <w:rFonts w:ascii="Arial" w:hAnsi="Arial" w:cs="Arial"/>
                <w:sz w:val="18"/>
                <w:szCs w:val="18"/>
                <w:lang w:val="pt-PT"/>
              </w:rPr>
            </w:pPr>
            <w:r>
              <w:rPr>
                <w:rFonts w:eastAsia="Arial" w:cs="Arial" w:ascii="Arial" w:hAnsi="Arial"/>
                <w:color w:val="auto"/>
                <w:spacing w:val="0"/>
                <w:w w:val="100"/>
                <w:sz w:val="18"/>
                <w:szCs w:val="20"/>
                <w:lang w:val="ro-RO"/>
              </w:rPr>
              <w:t>Pentru informații mai precise privind modul de afișare, informațiile care trebuie afișate și cazurile în care este necesară afișarea de informații, angajatorul va solicita serviciului extern de prevenire și protecție pentru oferirea de informații specifice și clare cu privire la aceste activități.</w:t>
            </w:r>
          </w:p>
        </w:tc>
      </w:tr>
    </w:tbl>
    <w:p>
      <w:pPr>
        <w:pStyle w:val="Normal"/>
        <w:keepNext w:val="true"/>
        <w:widowControl/>
        <w:tabs>
          <w:tab w:val="clear" w:pos="720"/>
          <w:tab w:val="left" w:pos="567" w:leader="none"/>
        </w:tabs>
        <w:spacing w:before="240" w:after="120"/>
        <w:ind w:hanging="0"/>
        <w:jc w:val="center"/>
        <w:rPr>
          <w:rStyle w:val="tpt1"/>
          <w:rFonts w:ascii="Arial" w:hAnsi="Arial" w:cs="Arial"/>
          <w:b/>
          <w:sz w:val="18"/>
          <w:szCs w:val="18"/>
          <w:lang w:val="fr-FR"/>
        </w:rPr>
      </w:pPr>
      <w:r>
        <w:rPr>
          <w:rFonts w:eastAsia="Arial" w:cs="Arial" w:ascii="Arial" w:hAnsi="Arial"/>
          <w:b/>
          <w:color w:val="auto"/>
          <w:spacing w:val="0"/>
          <w:w w:val="100"/>
          <w:sz w:val="20"/>
          <w:szCs w:val="20"/>
          <w:lang w:val="ro-RO"/>
        </w:rPr>
        <w:t xml:space="preserve">Capitolul X. Informații privind </w:t>
      </w:r>
      <w:r>
        <w:rPr>
          <w:rStyle w:val="tpt1"/>
          <w:rFonts w:eastAsia="Arial" w:cs="Arial" w:ascii="Arial" w:hAnsi="Arial"/>
          <w:b/>
          <w:color w:val="auto"/>
          <w:spacing w:val="0"/>
          <w:w w:val="100"/>
          <w:sz w:val="20"/>
          <w:szCs w:val="20"/>
          <w:lang w:val="ro-RO"/>
        </w:rPr>
        <w:t>întocmirea fișei postului</w:t>
      </w:r>
    </w:p>
    <w:p>
      <w:pPr>
        <w:pStyle w:val="Normal"/>
        <w:keepNext/>
        <w:widowControl/>
        <w:numPr>
          <w:ilvl w:val="0"/>
          <w:numId w:val="9"/>
        </w:numPr>
        <w:spacing w:before="120" w:after="60"/>
        <w:jc w:val="left"/>
        <w:rPr>
          <w:rFonts w:ascii="Arial" w:hAnsi="Arial" w:cs="Arial"/>
          <w:sz w:val="18"/>
          <w:szCs w:val="18"/>
          <w:lang w:val="de-DE"/>
        </w:rPr>
      </w:pPr>
      <w:r>
        <w:rPr>
          <w:rStyle w:val="tpt1"/>
          <w:rFonts w:eastAsia="Arial" w:cs="Arial" w:ascii="Arial" w:hAnsi="Arial"/>
          <w:color w:val="auto"/>
          <w:spacing w:val="0"/>
          <w:w w:val="100"/>
          <w:sz w:val="20"/>
          <w:szCs w:val="20"/>
          <w:lang w:val="ro-RO"/>
        </w:rPr>
        <w:t xml:space="preserve">Obligații, atribuții și răspunderi în domeniul securității și sănătății în muncă (conform Legii 319/2006 și H.G. 1425/2006), valabile pentru lucrători:</w:t>
      </w:r>
    </w:p>
    <w:p>
      <w:pPr>
        <w:pStyle w:val="Normal"/>
        <w:widowControl/>
        <w:numPr>
          <w:ilvl w:val="0"/>
          <w:numId w:val="2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Fiecare lucrător trebuie să își desfășoare activitatea, în conformitate cu pregătirea și instruirea sa, precum și cu instrucțiunile primite din partea angajatorului, astfel încât să nu expună la pericol de accidentare sau îmbolnăvire profesională atât propria persoană, cât și alte persoane care pot fi afectate de acțiunile sau omisiunile sale în timpul procesului de muncă.</w:t>
      </w:r>
    </w:p>
    <w:p>
      <w:pPr>
        <w:pStyle w:val="Normal"/>
        <w:keepNext/>
        <w:widowControl/>
        <w:numPr>
          <w:ilvl w:val="0"/>
          <w:numId w:val="2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mod deosebit, pentru a nu expune la pericol de accidentare sau îmbolnăvire profesională atât propria persoană, cât și alte persoane care pot fi afectate de acțiunile sau omisiunile lor în timpul procesului de muncă, lucrătorii au următoarele obligații:</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utilizeze corect mașinile, aparatura, uneltele, substanțele periculoase, echipamentele de transport și alte mijloace de producție;</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utilizeze corect echipamentul individual de protecție acordat și, după utilizare, să îl înapoieze sau să îl pună la locul destinat pentru păstrare;</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nu procedeze la scoaterea din funcțiune, la modificarea, schimbarea sau înlăturarea arbitrară a dispozitivelor de securitate proprii, în special ale mașinilor, aparaturii, uneltelor, instalațiilor tehnice și clădirilor, și să utilizeze corect aceste dispozitive;</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comunice imediat angajatorului și/ sau lucrătorilor desemnați orice situație de muncă despre care au motive întemeiate să o considere un pericol pentru securitatea și sănătatea lucrătorilor, precum și orice deficiență a sistemelor de protecție;</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aducă la cunoștința conducătorului locului de muncă și/ sau angajatorului accidentele suferite de propria persoană;</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coopereze cu angajatorul și/ sau cu lucrătorii desemnați, atât timp cât este necesar, pentru a face posibilă realizarea oricăror măsuri sau cerințe dispuse de către inspectorii de muncă și inspectorii sanitari, pentru protecția sănătății și securității lucrătorilor;</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coopereze, atât timp cât este necesar, cu angajatorul și/ sau cu lucrătorii desemnați, pentru a permite angajatorului să se asigure că mediul de muncă și condițiile de lucru sunt sigure și fără riscuri pentru securitate și sănătate, în domeniul său de activitate;</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își însușească și să respecte prevederile legislației din domeniul securității și sănătății în muncă și măsurile de aplicare a acestora;</w:t>
      </w:r>
    </w:p>
    <w:p>
      <w:pPr>
        <w:pStyle w:val="Normal"/>
        <w:widowControl/>
        <w:numPr>
          <w:ilvl w:val="3"/>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dea relațiile solicitate de către inspectorii de muncă și inspectorii sanitari.</w:t>
      </w:r>
    </w:p>
    <w:p>
      <w:pPr>
        <w:pStyle w:val="Normal"/>
        <w:keepNext/>
        <w:widowControl/>
        <w:numPr>
          <w:ilvl w:val="0"/>
          <w:numId w:val="2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 asemenea, pentru o cooperare cu angajatorul și/ sau cu lucrătorii desemnați, lucrătorii au următoarele obligații:</w:t>
      </w:r>
    </w:p>
    <w:p>
      <w:pPr>
        <w:pStyle w:val="Normal"/>
        <w:widowControl/>
        <w:numPr>
          <w:ilvl w:val="0"/>
          <w:numId w:val="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participe la instruirile de la angajare în domeniul securității și sănătății în muncă (instruirea introductiv-generală, instruirea la locul de muncă);</w:t>
      </w:r>
    </w:p>
    <w:p>
      <w:pPr>
        <w:pStyle w:val="Normal"/>
        <w:widowControl/>
        <w:numPr>
          <w:ilvl w:val="0"/>
          <w:numId w:val="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participe la instruirile periodice în domeniul securității și sănătății în muncă (atunci când acestea sunt programate) după ce au fost informați în prealabil de către șeful ierarhic (șeful locului de muncă);</w:t>
      </w:r>
    </w:p>
    <w:p>
      <w:pPr>
        <w:pStyle w:val="Normal"/>
        <w:widowControl/>
        <w:numPr>
          <w:ilvl w:val="0"/>
          <w:numId w:val="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participe la instruirile suplimentare (reinstruiri) în domeniul securității și sănătății în muncă (atunci când acestea sunt programate) după ce au fost informați în prealabil de către șeful ierarhic (șeful locului de muncă).</w:t>
      </w:r>
    </w:p>
    <w:p>
      <w:pPr>
        <w:pStyle w:val="Normal"/>
        <w:widowControl/>
        <w:numPr>
          <w:ilvl w:val="0"/>
          <w:numId w:val="29"/>
        </w:numPr>
        <w:spacing w:before="0" w:after="120"/>
        <w:jc w:val="left"/>
        <w:rPr>
          <w:rStyle w:val="tpt1"/>
          <w:rFonts w:ascii="Arial" w:hAnsi="Arial" w:cs="Arial"/>
          <w:sz w:val="18"/>
          <w:szCs w:val="18"/>
          <w:lang w:val="it-IT"/>
        </w:rPr>
      </w:pPr>
      <w:r>
        <w:rPr>
          <w:rFonts w:ascii="Arial" w:hAnsi="Arial" w:cs="Arial" w:eastAsia="Arial"/>
          <w:color w:val="auto"/>
          <w:sz w:val="20"/>
          <w:szCs w:val="20"/>
          <w:lang w:val="ro-RO"/>
        </w:rPr>
        <w:t xml:space="preserve">Fiecare lucrător se va prezenta la cabinetul de medicina muncii pentru efectuarea, la termenele stabilite de medicul de medicina muncii al unității, a controlului medical periodic sau, după caz, a controlului psihologic periodic, datele medicale obținute fiind evidențiate în « FIȘA DE APTITUDINE » și soluționate prin parafa medicului de medicina muncii în « FIȘA DE INSTRUIRE ÎN DOMENIUL SECURITĂȚII ȘI SĂNĂTĂȚII ÎN MUNCĂ » pentru anul în curs.</w:t>
      </w:r>
    </w:p>
    <w:p>
      <w:pPr>
        <w:pStyle w:val="Normal"/>
        <w:keepNext/>
        <w:widowControl/>
        <w:numPr>
          <w:ilvl w:val="0"/>
          <w:numId w:val="9"/>
        </w:numPr>
        <w:spacing w:before="120" w:after="60"/>
        <w:jc w:val="left"/>
        <w:rPr>
          <w:rFonts w:ascii="Arial" w:hAnsi="Arial" w:cs="Arial"/>
          <w:sz w:val="18"/>
          <w:szCs w:val="18"/>
          <w:lang w:val="de-DE"/>
        </w:rPr>
      </w:pPr>
      <w:r>
        <w:rPr>
          <w:rStyle w:val="tpt1"/>
          <w:rFonts w:eastAsia="Arial" w:cs="Arial" w:ascii="Arial" w:hAnsi="Arial"/>
          <w:color w:val="auto"/>
          <w:spacing w:val="0"/>
          <w:w w:val="100"/>
          <w:sz w:val="20"/>
          <w:szCs w:val="20"/>
          <w:lang w:val="ro-RO"/>
        </w:rPr>
        <w:t xml:space="preserve">Obligații, atribuții și răspunderi în domeniul situațiilor de urgență (conform Legii 307/2006), valabile pentru lucrători:</w:t>
      </w:r>
    </w:p>
    <w:p>
      <w:pPr>
        <w:pStyle w:val="Normal"/>
        <w:widowControl/>
        <w:numPr>
          <w:ilvl w:val="0"/>
          <w:numId w:val="20"/>
        </w:numPr>
        <w:spacing w:before="0" w:after="40"/>
        <w:jc w:val="left"/>
        <w:rPr>
          <w:rFonts w:ascii="Arial" w:hAnsi="Arial" w:cs="Arial"/>
          <w:sz w:val="18"/>
          <w:szCs w:val="18"/>
          <w:lang w:val="it-IT"/>
        </w:rPr>
      </w:pPr>
      <w:r>
        <w:rPr>
          <w:rFonts w:ascii="Arial" w:hAnsi="Arial" w:cs="Arial" w:eastAsia="Arial"/>
          <w:color w:val="auto"/>
          <w:sz w:val="20"/>
          <w:szCs w:val="20"/>
          <w:lang w:val="ro-RO"/>
        </w:rPr>
        <w:t xml:space="preserve">Persoana care observă un incendiu are obligația să anunțe prin orice mijloc serviciile de urgență, primarul sau poliția și să ia măsuri, după posibilitățile sale, pentru limitarea și stingerea incendiului.</w:t>
      </w:r>
    </w:p>
    <w:p>
      <w:pPr>
        <w:pStyle w:val="Normal"/>
        <w:widowControl/>
        <w:numPr>
          <w:ilvl w:val="0"/>
          <w:numId w:val="2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cazul în care anunțul de incendiu s-a făcut cu rea-credință, fără motiv întemeiat, autorul răspunde contravențional sau penal, potrivit legii, și suportă cheltuielile ocazionate de deplasarea forțelor de intervenție.</w:t>
      </w:r>
    </w:p>
    <w:p>
      <w:pPr>
        <w:pStyle w:val="Normal"/>
        <w:keepNext/>
        <w:widowControl/>
        <w:numPr>
          <w:ilvl w:val="0"/>
          <w:numId w:val="2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Fiecare lucrător/ utilizatorul are următoarele obligații principale:</w:t>
      </w:r>
    </w:p>
    <w:p>
      <w:pPr>
        <w:pStyle w:val="Normal"/>
        <w:widowControl/>
        <w:numPr>
          <w:ilvl w:val="0"/>
          <w:numId w:val="36"/>
        </w:numPr>
        <w:spacing w:before="0" w:after="40"/>
        <w:ind w:hanging="360" w:left="1080" w:right="0"/>
        <w:jc w:val="left"/>
        <w:rPr>
          <w:rFonts w:ascii="Arial" w:hAnsi="Arial" w:cs="Arial"/>
          <w:sz w:val="18"/>
          <w:szCs w:val="18"/>
          <w:lang w:val="pt-PT"/>
        </w:rPr>
      </w:pPr>
      <w:r>
        <w:rPr>
          <w:rFonts w:eastAsia="Arial" w:cs="Arial" w:ascii="Arial" w:hAnsi="Arial"/>
          <w:color w:val="auto"/>
          <w:spacing w:val="0"/>
          <w:w w:val="100"/>
          <w:sz w:val="20"/>
          <w:szCs w:val="20"/>
          <w:lang w:val="ro-RO"/>
        </w:rPr>
        <w:t>să cunoască și să respecte măsurile de apărare împotriva incendiilor, stabilite de administrator, conducătorul instituției, proprietar, producător sau importator, după caz;</w:t>
      </w:r>
    </w:p>
    <w:p>
      <w:pPr>
        <w:pStyle w:val="Normal"/>
        <w:widowControl/>
        <w:numPr>
          <w:ilvl w:val="0"/>
          <w:numId w:val="36"/>
        </w:numPr>
        <w:spacing w:before="0" w:after="40"/>
        <w:ind w:hanging="360" w:left="1080" w:right="0"/>
        <w:jc w:val="left"/>
        <w:rPr>
          <w:rFonts w:ascii="Arial" w:hAnsi="Arial" w:cs="Arial"/>
          <w:sz w:val="18"/>
          <w:szCs w:val="18"/>
          <w:lang w:val="pt-PT"/>
        </w:rPr>
      </w:pPr>
      <w:r>
        <w:rPr>
          <w:rFonts w:eastAsia="Arial" w:cs="Arial" w:ascii="Arial" w:hAnsi="Arial"/>
          <w:color w:val="auto"/>
          <w:spacing w:val="0"/>
          <w:w w:val="100"/>
          <w:sz w:val="20"/>
          <w:szCs w:val="20"/>
          <w:lang w:val="ro-RO"/>
        </w:rPr>
        <w:t>să întrețină și să folosească, în scopul pentru care au fost realizate, dotările pentru apărarea împotriva incendiilor, puse la dispoziție de administrator, conducătorul instituției, proprietar, producător sau importator;</w:t>
      </w:r>
    </w:p>
    <w:p>
      <w:pPr>
        <w:pStyle w:val="Normal"/>
        <w:widowControl/>
        <w:numPr>
          <w:ilvl w:val="0"/>
          <w:numId w:val="36"/>
        </w:numPr>
        <w:spacing w:before="0" w:after="40"/>
        <w:ind w:hanging="360" w:left="1080" w:right="0"/>
        <w:jc w:val="left"/>
        <w:rPr>
          <w:rFonts w:ascii="Arial" w:hAnsi="Arial" w:cs="Arial"/>
          <w:sz w:val="18"/>
          <w:szCs w:val="18"/>
          <w:lang w:val="pt-PT"/>
        </w:rPr>
      </w:pPr>
      <w:r>
        <w:rPr>
          <w:rFonts w:eastAsia="Arial" w:cs="Arial" w:ascii="Arial" w:hAnsi="Arial"/>
          <w:color w:val="auto"/>
          <w:spacing w:val="0"/>
          <w:w w:val="100"/>
          <w:sz w:val="20"/>
          <w:szCs w:val="20"/>
          <w:lang w:val="ro-RO"/>
        </w:rPr>
        <w:t>să respecte normele de apărare împotriva incendiilor, specifice activităților pe care le organizează sau le desfășoară;</w:t>
      </w:r>
    </w:p>
    <w:p>
      <w:pPr>
        <w:pStyle w:val="Normal"/>
        <w:widowControl/>
        <w:numPr>
          <w:ilvl w:val="0"/>
          <w:numId w:val="36"/>
        </w:numPr>
        <w:spacing w:before="0" w:after="40"/>
        <w:ind w:hanging="360" w:left="1080" w:right="0"/>
        <w:jc w:val="left"/>
        <w:rPr>
          <w:rFonts w:ascii="Arial" w:hAnsi="Arial" w:cs="Arial"/>
          <w:sz w:val="18"/>
          <w:szCs w:val="18"/>
          <w:lang w:val="pt-PT"/>
        </w:rPr>
      </w:pPr>
      <w:r>
        <w:rPr>
          <w:rFonts w:eastAsia="Arial" w:cs="Arial" w:ascii="Arial" w:hAnsi="Arial"/>
          <w:color w:val="auto"/>
          <w:spacing w:val="0"/>
          <w:w w:val="100"/>
          <w:sz w:val="20"/>
          <w:szCs w:val="20"/>
          <w:lang w:val="ro-RO"/>
        </w:rPr>
        <w:t>să nu efectueze modificări neautorizate și fără acordul scris al proprietarului, al proiectantului inițial al construcției, instalației, echipamentului, dispozitivului sau mijlocului de transport utilizat ori al unui expert tehnic atestat potrivit legislației în vigoare;</w:t>
      </w:r>
    </w:p>
    <w:p>
      <w:pPr>
        <w:pStyle w:val="Normal"/>
        <w:widowControl/>
        <w:numPr>
          <w:ilvl w:val="0"/>
          <w:numId w:val="36"/>
        </w:numPr>
        <w:spacing w:before="0" w:after="40"/>
        <w:ind w:hanging="360" w:left="1080" w:right="0"/>
        <w:jc w:val="left"/>
        <w:rPr>
          <w:rFonts w:ascii="Arial" w:hAnsi="Arial" w:cs="Arial"/>
          <w:sz w:val="18"/>
          <w:szCs w:val="18"/>
          <w:lang w:val="pt-PT"/>
        </w:rPr>
      </w:pPr>
      <w:r>
        <w:rPr>
          <w:rFonts w:eastAsia="Arial" w:cs="Arial" w:ascii="Arial" w:hAnsi="Arial"/>
          <w:color w:val="auto"/>
          <w:spacing w:val="0"/>
          <w:w w:val="100"/>
          <w:sz w:val="20"/>
          <w:szCs w:val="20"/>
          <w:lang w:val="ro-RO"/>
        </w:rPr>
        <w:t>să aducă la cunoștința administratorului, conducătorului instituției sau proprietarului, după caz, orice defecțiune tehnică ori altă situație care constituie pericol de incendiu.</w:t>
      </w:r>
    </w:p>
    <w:p>
      <w:pPr>
        <w:pStyle w:val="Normal"/>
        <w:keepNext/>
        <w:widowControl/>
        <w:numPr>
          <w:ilvl w:val="0"/>
          <w:numId w:val="2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Fiecare salariat are, la locul de muncă, următoarele obligații principale:</w:t>
      </w:r>
    </w:p>
    <w:p>
      <w:pPr>
        <w:pStyle w:val="Normal"/>
        <w:widowControl/>
        <w:numPr>
          <w:ilvl w:val="0"/>
          <w:numId w:val="19"/>
        </w:numPr>
        <w:spacing w:before="0" w:after="40"/>
        <w:ind w:hanging="360" w:left="1080" w:right="0"/>
        <w:jc w:val="left"/>
        <w:rPr>
          <w:rFonts w:ascii="Arial" w:hAnsi="Arial" w:cs="Arial"/>
          <w:sz w:val="18"/>
          <w:szCs w:val="18"/>
          <w:lang w:val="fr-FR"/>
        </w:rPr>
      </w:pPr>
      <w:r>
        <w:rPr>
          <w:rFonts w:eastAsia="Arial" w:cs="Arial" w:ascii="Arial" w:hAnsi="Arial"/>
          <w:color w:val="auto"/>
          <w:spacing w:val="0"/>
          <w:w w:val="100"/>
          <w:sz w:val="20"/>
          <w:szCs w:val="20"/>
          <w:lang w:val="ro-RO"/>
        </w:rPr>
        <w:t>să respecte regulile și măsurile de apărare împotriva incendiilor, aduse la cunoștință, sub orice formă, de administrator sau de conducătorul instituției, după caz;</w:t>
      </w:r>
    </w:p>
    <w:p>
      <w:pPr>
        <w:pStyle w:val="Normal"/>
        <w:widowControl/>
        <w:numPr>
          <w:ilvl w:val="0"/>
          <w:numId w:val="19"/>
        </w:numPr>
        <w:spacing w:before="0" w:after="40"/>
        <w:ind w:hanging="360" w:left="1080" w:right="0"/>
        <w:jc w:val="left"/>
        <w:rPr>
          <w:rFonts w:ascii="Arial" w:hAnsi="Arial" w:cs="Arial"/>
          <w:sz w:val="18"/>
          <w:szCs w:val="18"/>
          <w:lang w:val="fr-FR"/>
        </w:rPr>
      </w:pPr>
      <w:r>
        <w:rPr>
          <w:rFonts w:eastAsia="Arial" w:cs="Arial" w:ascii="Arial" w:hAnsi="Arial"/>
          <w:color w:val="auto"/>
          <w:spacing w:val="0"/>
          <w:w w:val="100"/>
          <w:sz w:val="20"/>
          <w:szCs w:val="20"/>
          <w:lang w:val="ro-RO"/>
        </w:rPr>
        <w:t>să utilizeze substanțele periculoase, instalațiile, utilajele, mașinile, aparatura și echipamentele, potrivit instrucțiunilor tehnice, precum și celor date de administrator sau de conducătorul instituției, după caz;</w:t>
      </w:r>
    </w:p>
    <w:p>
      <w:pPr>
        <w:pStyle w:val="Normal"/>
        <w:widowControl/>
        <w:numPr>
          <w:ilvl w:val="0"/>
          <w:numId w:val="19"/>
        </w:numPr>
        <w:spacing w:before="0" w:after="40"/>
        <w:ind w:hanging="360" w:left="1080" w:right="0"/>
        <w:jc w:val="left"/>
        <w:rPr>
          <w:rFonts w:ascii="Arial" w:hAnsi="Arial" w:cs="Arial"/>
          <w:sz w:val="18"/>
          <w:szCs w:val="18"/>
          <w:lang w:val="fr-FR"/>
        </w:rPr>
      </w:pPr>
      <w:r>
        <w:rPr>
          <w:rFonts w:eastAsia="Arial" w:cs="Arial" w:ascii="Arial" w:hAnsi="Arial"/>
          <w:color w:val="auto"/>
          <w:spacing w:val="0"/>
          <w:w w:val="100"/>
          <w:sz w:val="20"/>
          <w:szCs w:val="20"/>
          <w:lang w:val="ro-RO"/>
        </w:rPr>
        <w:t>să nu efectueze manevre nepermise sau modificări neautorizate ale sistemelor și instalațiilor de apărare împotriva incendiilor;</w:t>
      </w:r>
    </w:p>
    <w:p>
      <w:pPr>
        <w:pStyle w:val="Normal"/>
        <w:widowControl/>
        <w:numPr>
          <w:ilvl w:val="0"/>
          <w:numId w:val="19"/>
        </w:numPr>
        <w:spacing w:before="0" w:after="40"/>
        <w:ind w:hanging="360" w:left="1080" w:right="0"/>
        <w:jc w:val="left"/>
        <w:rPr>
          <w:rFonts w:ascii="Arial" w:hAnsi="Arial" w:cs="Arial"/>
          <w:sz w:val="18"/>
          <w:szCs w:val="18"/>
          <w:lang w:val="it-IT"/>
        </w:rPr>
      </w:pPr>
      <w:r>
        <w:rPr>
          <w:rFonts w:eastAsia="Arial" w:cs="Arial" w:ascii="Arial" w:hAnsi="Arial"/>
          <w:color w:val="auto"/>
          <w:spacing w:val="0"/>
          <w:w w:val="100"/>
          <w:sz w:val="20"/>
          <w:szCs w:val="20"/>
          <w:lang w:val="ro-RO"/>
        </w:rPr>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widowControl/>
        <w:numPr>
          <w:ilvl w:val="0"/>
          <w:numId w:val="19"/>
        </w:numPr>
        <w:spacing w:before="0" w:after="40"/>
        <w:ind w:hanging="360" w:left="1080" w:right="0"/>
        <w:jc w:val="left"/>
        <w:rPr>
          <w:rFonts w:ascii="Arial" w:hAnsi="Arial" w:cs="Arial"/>
          <w:sz w:val="18"/>
          <w:szCs w:val="18"/>
          <w:lang w:val="it-IT"/>
        </w:rPr>
      </w:pPr>
      <w:r>
        <w:rPr>
          <w:rFonts w:eastAsia="Arial" w:cs="Arial" w:ascii="Arial" w:hAnsi="Arial"/>
          <w:color w:val="auto"/>
          <w:spacing w:val="0"/>
          <w:w w:val="100"/>
          <w:sz w:val="20"/>
          <w:szCs w:val="20"/>
          <w:lang w:val="ro-RO"/>
        </w:rPr>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widowControl/>
        <w:numPr>
          <w:ilvl w:val="0"/>
          <w:numId w:val="19"/>
        </w:numPr>
        <w:spacing w:before="0" w:after="40"/>
        <w:ind w:hanging="360" w:left="1080" w:right="0"/>
        <w:jc w:val="left"/>
        <w:rPr>
          <w:rFonts w:ascii="Arial" w:hAnsi="Arial" w:cs="Arial"/>
          <w:sz w:val="18"/>
          <w:szCs w:val="18"/>
          <w:lang w:val="it-IT"/>
        </w:rPr>
      </w:pPr>
      <w:r>
        <w:rPr>
          <w:rFonts w:eastAsia="Arial" w:cs="Arial" w:ascii="Arial" w:hAnsi="Arial"/>
          <w:color w:val="auto"/>
          <w:spacing w:val="0"/>
          <w:w w:val="100"/>
          <w:sz w:val="20"/>
          <w:szCs w:val="20"/>
          <w:lang w:val="ro-RO"/>
        </w:rPr>
        <w:t>să acționeze, în conformitate cu procedurile stabilite la locul de muncă, în cazul apariției oricărui pericol iminent de incendiu;</w:t>
      </w:r>
    </w:p>
    <w:p>
      <w:pPr>
        <w:pStyle w:val="Normal"/>
        <w:widowControl/>
        <w:numPr>
          <w:ilvl w:val="0"/>
          <w:numId w:val="19"/>
        </w:numPr>
        <w:spacing w:before="0" w:after="40"/>
        <w:ind w:hanging="360" w:left="1080" w:right="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furnizeze persoanelor abilitate toate datele și informațiile de care are cunoștință, referitoare la producerea incendiilor.</w:t>
      </w:r>
    </w:p>
    <w:p>
      <w:pPr>
        <w:pStyle w:val="Normal"/>
        <w:keepNext/>
        <w:widowControl/>
        <w:numPr>
          <w:ilvl w:val="0"/>
          <w:numId w:val="2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De asemenea, pentru realizarea instruirii în domeniul situațiilor de urgență, lucrătorii au următoarele obligații:</w:t>
      </w:r>
    </w:p>
    <w:p>
      <w:pPr>
        <w:pStyle w:val="Normal"/>
        <w:widowControl/>
        <w:numPr>
          <w:ilvl w:val="0"/>
          <w:numId w:val="25"/>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participe la instruirile de la angajare în domeniul situațiilor de urgență (instruirea introductiv-generală, instruirea la locul de muncă);</w:t>
      </w:r>
    </w:p>
    <w:p>
      <w:pPr>
        <w:pStyle w:val="Normal"/>
        <w:widowControl/>
        <w:numPr>
          <w:ilvl w:val="0"/>
          <w:numId w:val="25"/>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să participe la instruirile periodice în domeniul situațiilor de urgență (atunci când acestea sunt programate) după ce au fost informați în prealabil de către șeful ierarhic (șeful locului de muncă);</w:t>
      </w:r>
    </w:p>
    <w:p>
      <w:pPr>
        <w:pStyle w:val="Normal"/>
        <w:widowControl/>
        <w:numPr>
          <w:ilvl w:val="0"/>
          <w:numId w:val="25"/>
        </w:numPr>
        <w:spacing w:before="0" w:after="120"/>
        <w:ind w:hanging="360" w:left="1080"/>
        <w:jc w:val="left"/>
        <w:rPr>
          <w:rStyle w:val="tpt1"/>
          <w:rFonts w:ascii="Arial" w:hAnsi="Arial" w:cs="Arial"/>
          <w:sz w:val="18"/>
          <w:szCs w:val="18"/>
          <w:lang w:val="it-IT"/>
        </w:rPr>
      </w:pPr>
      <w:r>
        <w:rPr>
          <w:rFonts w:eastAsia="Arial" w:cs="Arial" w:ascii="Arial" w:hAnsi="Arial"/>
          <w:color w:val="auto"/>
          <w:spacing w:val="0"/>
          <w:w w:val="100"/>
          <w:sz w:val="20"/>
          <w:szCs w:val="20"/>
          <w:lang w:val="ro-RO"/>
        </w:rPr>
        <w:t xml:space="preserve">să participe la instruirile suplimentare în domeniul situațiilor de urgență (atunci când acestea sunt programate) după ce au fost informați în prealabil de către șeful ierarhic (șeful locului de muncă).</w:t>
      </w:r>
    </w:p>
    <w:p>
      <w:pPr>
        <w:pStyle w:val="Normal"/>
        <w:widowControl/>
        <w:numPr>
          <w:ilvl w:val="0"/>
          <w:numId w:val="9"/>
        </w:numPr>
        <w:spacing w:before="120" w:after="60"/>
        <w:jc w:val="left"/>
        <w:rPr>
          <w:rFonts w:ascii="Arial" w:hAnsi="Arial" w:cs="Arial"/>
          <w:sz w:val="18"/>
          <w:szCs w:val="18"/>
          <w:lang w:val="de-DE"/>
        </w:rPr>
      </w:pPr>
      <w:r>
        <w:rPr>
          <w:rStyle w:val="tpt1"/>
          <w:rFonts w:eastAsia="Arial" w:cs="Arial" w:ascii="Arial" w:hAnsi="Arial"/>
          <w:color w:val="auto"/>
          <w:spacing w:val="0"/>
          <w:w w:val="100"/>
          <w:sz w:val="20"/>
          <w:szCs w:val="20"/>
          <w:lang w:val="ro-RO"/>
        </w:rPr>
        <w:t xml:space="preserve">Obligațiile, atribuțiile și răspunderile în domeniul securității și sănătății în muncă (conform Legii 319/2006 și H.G. 1425/2006), valabile pentru șefii locurilor de muncă, vor fi aceleași cu ale lucrătorilor doar că se vor suplimenta cu următoarea prevedere:</w:t>
      </w:r>
      <w:r>
        <w:rPr>
          <w:rFonts w:eastAsia="Arial" w:cs="Arial" w:ascii="Arial" w:hAnsi="Arial"/>
          <w:color w:val="auto"/>
          <w:spacing w:val="0"/>
          <w:w w:val="100"/>
          <w:sz w:val="20"/>
          <w:szCs w:val="20"/>
          <w:lang w:val="ro-RO"/>
        </w:rPr>
        <w:t xml:space="preserve"> să efectueze instruirea la locul de muncă, periodică și când este cazul, suplimentară la lucrătorii din subordine.</w:t>
      </w:r>
    </w:p>
    <w:p>
      <w:pPr>
        <w:pStyle w:val="Normal"/>
        <w:widowControl/>
        <w:numPr>
          <w:ilvl w:val="0"/>
          <w:numId w:val="9"/>
        </w:numPr>
        <w:spacing w:before="120" w:after="60"/>
        <w:jc w:val="left"/>
        <w:rPr>
          <w:rFonts w:ascii="Arial" w:hAnsi="Arial" w:cs="Arial"/>
          <w:sz w:val="18"/>
          <w:szCs w:val="18"/>
          <w:lang w:val="de-DE"/>
        </w:rPr>
      </w:pPr>
      <w:r>
        <w:rPr>
          <w:rStyle w:val="tpt1"/>
          <w:rFonts w:eastAsia="Arial" w:cs="Arial" w:ascii="Arial" w:hAnsi="Arial"/>
          <w:color w:val="auto"/>
          <w:spacing w:val="0"/>
          <w:w w:val="100"/>
          <w:sz w:val="20"/>
          <w:szCs w:val="20"/>
          <w:lang w:val="ro-RO"/>
        </w:rPr>
        <w:t xml:space="preserve">Obligațiile, atribuțiile și răspunderile în domeniul situațiilor de urgență (conform Legii 307/2006), valabile pentru șefii locurilor de muncă, vor fi aceleași cu ale lucrătorilor doar că se vor suplimenta cu următoarea prevedere:</w:t>
      </w:r>
      <w:r>
        <w:rPr>
          <w:rFonts w:eastAsia="Arial" w:cs="Arial" w:ascii="Arial" w:hAnsi="Arial"/>
          <w:color w:val="auto"/>
          <w:spacing w:val="0"/>
          <w:w w:val="100"/>
          <w:sz w:val="20"/>
          <w:szCs w:val="20"/>
          <w:lang w:val="ro-RO"/>
        </w:rPr>
        <w:t xml:space="preserve"> să efectueze instruirea la locul de muncă, periodică și când este cazul, suplimentară la lucrătorii din subordine.</w:t>
      </w:r>
    </w:p>
    <w:p>
      <w:pPr>
        <w:pStyle w:val="Normal"/>
        <w:keepNext/>
        <w:widowControl/>
        <w:numPr>
          <w:ilvl w:val="0"/>
          <w:numId w:val="9"/>
        </w:numPr>
        <w:spacing w:before="120" w:after="60"/>
        <w:jc w:val="left"/>
        <w:rPr>
          <w:rFonts w:ascii="Arial" w:hAnsi="Arial" w:cs="Arial"/>
          <w:sz w:val="18"/>
          <w:szCs w:val="18"/>
          <w:lang w:val="de-DE"/>
        </w:rPr>
      </w:pPr>
      <w:r>
        <w:rPr>
          <w:rFonts w:ascii="Arial" w:hAnsi="Arial" w:cs="Arial" w:eastAsia="Arial"/>
          <w:color w:val="auto"/>
          <w:sz w:val="20"/>
          <w:szCs w:val="20"/>
          <w:lang w:val="ro-RO"/>
        </w:rPr>
        <w:t xml:space="preserve">(Preluare din H.G. 1425/2006 – Art. 56) Reprezentanții lucrătorilor cu răspunderi specifice în domeniul securității și sănătății în muncă sunt consultați și participă, în conformitate cu art. 18 din Legea 319/2006, și pot desfășura următoarele activități:</w:t>
      </w:r>
    </w:p>
    <w:p>
      <w:pPr>
        <w:pStyle w:val="Normal"/>
        <w:widowControl/>
        <w:numPr>
          <w:ilvl w:val="0"/>
          <w:numId w:val="33"/>
        </w:numPr>
        <w:spacing w:before="0" w:after="40"/>
        <w:jc w:val="left"/>
        <w:rPr>
          <w:rFonts w:ascii="Arial" w:hAnsi="Arial" w:cs="Arial"/>
          <w:sz w:val="18"/>
          <w:szCs w:val="18"/>
          <w:lang w:val="it-IT"/>
        </w:rPr>
      </w:pPr>
      <w:bookmarkStart w:id="15" w:name="do|caIII|si9|ar56|lia"/>
      <w:bookmarkEnd w:id="15"/>
      <w:r>
        <w:rPr>
          <w:rStyle w:val="tli1"/>
          <w:rFonts w:eastAsia="Arial" w:cs="Arial" w:ascii="Arial" w:hAnsi="Arial"/>
          <w:color w:val="auto"/>
          <w:spacing w:val="0"/>
          <w:w w:val="100"/>
          <w:sz w:val="20"/>
          <w:szCs w:val="20"/>
          <w:lang w:val="ro-RO"/>
        </w:rPr>
        <w:t>colaborează cu angajatorul pentru îmbunătățirea condițiilor de securitate și sănătate în muncă;</w:t>
      </w:r>
    </w:p>
    <w:p>
      <w:pPr>
        <w:pStyle w:val="Normal"/>
        <w:widowControl/>
        <w:numPr>
          <w:ilvl w:val="0"/>
          <w:numId w:val="33"/>
        </w:numPr>
        <w:spacing w:before="0" w:after="40"/>
        <w:jc w:val="left"/>
        <w:rPr>
          <w:rFonts w:ascii="Arial" w:hAnsi="Arial" w:cs="Arial"/>
          <w:sz w:val="18"/>
          <w:szCs w:val="18"/>
          <w:lang w:val="es-ES"/>
        </w:rPr>
      </w:pPr>
      <w:bookmarkStart w:id="16" w:name="do|caIII|si9|ar56|lib"/>
      <w:bookmarkEnd w:id="16"/>
      <w:r>
        <w:rPr>
          <w:rStyle w:val="tli1"/>
          <w:rFonts w:eastAsia="Arial" w:cs="Arial" w:ascii="Arial" w:hAnsi="Arial"/>
          <w:color w:val="auto"/>
          <w:spacing w:val="0"/>
          <w:w w:val="100"/>
          <w:sz w:val="20"/>
          <w:szCs w:val="20"/>
          <w:lang w:val="ro-RO"/>
        </w:rPr>
        <w:t xml:space="preserve">însoțesc echipa/ persoana care efectuează evaluarea riscurilor;</w:t>
      </w:r>
    </w:p>
    <w:p>
      <w:pPr>
        <w:pStyle w:val="Normal"/>
        <w:widowControl/>
        <w:numPr>
          <w:ilvl w:val="0"/>
          <w:numId w:val="33"/>
        </w:numPr>
        <w:spacing w:before="0" w:after="40"/>
        <w:jc w:val="left"/>
        <w:rPr>
          <w:rFonts w:ascii="Arial" w:hAnsi="Arial" w:cs="Arial"/>
          <w:sz w:val="18"/>
          <w:szCs w:val="18"/>
          <w:lang w:val="es-ES"/>
        </w:rPr>
      </w:pPr>
      <w:bookmarkStart w:id="17" w:name="do|caIII|si9|ar56|lic"/>
      <w:bookmarkEnd w:id="17"/>
      <w:r>
        <w:rPr>
          <w:rStyle w:val="tli1"/>
          <w:rFonts w:eastAsia="Arial" w:cs="Arial" w:ascii="Arial" w:hAnsi="Arial"/>
          <w:color w:val="auto"/>
          <w:spacing w:val="0"/>
          <w:w w:val="100"/>
          <w:sz w:val="20"/>
          <w:szCs w:val="20"/>
          <w:lang w:val="ro-RO"/>
        </w:rPr>
        <w:t>ajută lucrătorii să conștientizeze necesitatea aplicării măsurilor de securitate și sănătate în muncă;</w:t>
      </w:r>
    </w:p>
    <w:p>
      <w:pPr>
        <w:pStyle w:val="Normal"/>
        <w:widowControl/>
        <w:numPr>
          <w:ilvl w:val="0"/>
          <w:numId w:val="33"/>
        </w:numPr>
        <w:spacing w:before="0" w:after="40"/>
        <w:jc w:val="left"/>
        <w:rPr>
          <w:rFonts w:ascii="Arial" w:hAnsi="Arial" w:cs="Arial"/>
          <w:sz w:val="18"/>
          <w:szCs w:val="18"/>
          <w:lang w:val="es-ES"/>
        </w:rPr>
      </w:pPr>
      <w:bookmarkStart w:id="18" w:name="do|caIII|si9|ar56|lid"/>
      <w:bookmarkEnd w:id="18"/>
      <w:r>
        <w:rPr>
          <w:rStyle w:val="tli1"/>
          <w:rFonts w:eastAsia="Arial" w:cs="Arial" w:ascii="Arial" w:hAnsi="Arial"/>
          <w:color w:val="auto"/>
          <w:spacing w:val="0"/>
          <w:w w:val="100"/>
          <w:sz w:val="20"/>
          <w:szCs w:val="20"/>
          <w:lang w:val="ro-RO"/>
        </w:rPr>
        <w:t>aduc la cunoștință angajatorului sau comitetului de securitate și sănătate în muncă propunerile lucrătorilor referitoare la îmbunătățirea condițiilor de muncă;</w:t>
      </w:r>
    </w:p>
    <w:p>
      <w:pPr>
        <w:pStyle w:val="Normal"/>
        <w:widowControl/>
        <w:numPr>
          <w:ilvl w:val="0"/>
          <w:numId w:val="33"/>
        </w:numPr>
        <w:spacing w:before="0" w:after="40"/>
        <w:jc w:val="left"/>
        <w:rPr>
          <w:rFonts w:ascii="Arial" w:hAnsi="Arial" w:cs="Arial"/>
          <w:sz w:val="18"/>
          <w:szCs w:val="18"/>
          <w:lang w:val="es-ES"/>
        </w:rPr>
      </w:pPr>
      <w:bookmarkStart w:id="19" w:name="do|caIII|si9|ar56|lie"/>
      <w:bookmarkEnd w:id="19"/>
      <w:r>
        <w:rPr>
          <w:rStyle w:val="tli1"/>
          <w:rFonts w:eastAsia="Arial" w:cs="Arial" w:ascii="Arial" w:hAnsi="Arial"/>
          <w:color w:val="auto"/>
          <w:spacing w:val="0"/>
          <w:w w:val="100"/>
          <w:sz w:val="20"/>
          <w:szCs w:val="20"/>
          <w:lang w:val="ro-RO"/>
        </w:rPr>
        <w:t>urmăresc realizarea măsurilor din planul de prevenire și protecție;</w:t>
      </w:r>
    </w:p>
    <w:p>
      <w:pPr>
        <w:pStyle w:val="Normal"/>
        <w:widowControl/>
        <w:numPr>
          <w:ilvl w:val="0"/>
          <w:numId w:val="33"/>
        </w:numPr>
        <w:spacing w:before="0" w:after="120"/>
        <w:jc w:val="left"/>
        <w:rPr>
          <w:rStyle w:val="tli1"/>
          <w:rFonts w:ascii="Arial" w:hAnsi="Arial" w:cs="Arial"/>
          <w:sz w:val="18"/>
          <w:szCs w:val="18"/>
          <w:lang w:val="es-ES"/>
        </w:rPr>
      </w:pPr>
      <w:bookmarkStart w:id="20" w:name="do|caIII|si9|ar56|lif"/>
      <w:bookmarkEnd w:id="20"/>
      <w:r>
        <w:rPr>
          <w:rStyle w:val="tli1"/>
          <w:rFonts w:eastAsia="Arial" w:cs="Arial" w:ascii="Arial" w:hAnsi="Arial"/>
          <w:color w:val="auto"/>
          <w:spacing w:val="0"/>
          <w:w w:val="100"/>
          <w:sz w:val="20"/>
          <w:szCs w:val="20"/>
          <w:lang w:val="ro-RO"/>
        </w:rPr>
        <w:t>informează autoritățile competente asupra nerespectării prevederilor legale în domeniul securității și sănătății în muncă.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1425/2006 – Art. 15)</w:t>
      </w:r>
      <w:r>
        <w:rPr>
          <w:rStyle w:val="tal1"/>
          <w:rFonts w:eastAsia="Arial" w:cs="Arial" w:ascii="Arial" w:hAnsi="Arial"/>
          <w:color w:val="auto"/>
          <w:spacing w:val="0"/>
          <w:w w:val="100"/>
          <w:sz w:val="20"/>
          <w:szCs w:val="20"/>
          <w:lang w:val="ro-RO"/>
        </w:rPr>
        <w:t xml:space="preserve"> </w:t>
      </w:r>
      <w:r>
        <w:rPr>
          <w:rStyle w:val="tpt1"/>
          <w:rFonts w:eastAsia="Arial" w:cs="Arial" w:ascii="Arial" w:hAnsi="Arial"/>
          <w:color w:val="auto"/>
          <w:spacing w:val="0"/>
          <w:w w:val="100"/>
          <w:sz w:val="20"/>
          <w:szCs w:val="20"/>
          <w:lang w:val="ro-RO"/>
        </w:rPr>
        <w:t xml:space="preserve">Obligațiile, atribuțiile și răspunderile în domeniul securității și sănătății în muncă, valabile pentru </w:t>
      </w:r>
      <w:r>
        <w:rPr>
          <w:rStyle w:val="tpa1"/>
          <w:rFonts w:eastAsia="Arial" w:cs="Arial" w:ascii="Arial" w:hAnsi="Arial"/>
          <w:color w:val="auto"/>
          <w:spacing w:val="0"/>
          <w:w w:val="100"/>
          <w:sz w:val="20"/>
          <w:szCs w:val="20"/>
          <w:lang w:val="ro-RO"/>
        </w:rPr>
        <w:t xml:space="preserve">lucrătorii desemnați, </w:t>
      </w:r>
      <w:r>
        <w:rPr>
          <w:rStyle w:val="tpt1"/>
          <w:rFonts w:eastAsia="Arial" w:cs="Arial" w:ascii="Arial" w:hAnsi="Arial"/>
          <w:color w:val="auto"/>
          <w:spacing w:val="0"/>
          <w:w w:val="100"/>
          <w:sz w:val="20"/>
          <w:szCs w:val="20"/>
          <w:lang w:val="ro-RO"/>
        </w:rPr>
        <w:t xml:space="preserve">vor fi suplimentate cu următoarele prevederi (aceste atribuții vor fi stabilite de comun acord între lucrătorul desemnat și angajator)</w:t>
      </w:r>
      <w:r>
        <w:rPr>
          <w:rStyle w:val="tpa1"/>
          <w:rFonts w:eastAsia="Arial" w:cs="Arial" w:ascii="Arial" w:hAnsi="Arial"/>
          <w:color w:val="auto"/>
          <w:spacing w:val="0"/>
          <w:w w:val="100"/>
          <w:sz w:val="20"/>
          <w:szCs w:val="20"/>
          <w:lang w:val="ro-RO"/>
        </w:rPr>
        <w:t xml:space="preserve">:</w:t>
      </w:r>
    </w:p>
    <w:p>
      <w:pPr>
        <w:pStyle w:val="Normal"/>
        <w:widowControl/>
        <w:numPr>
          <w:ilvl w:val="0"/>
          <w:numId w:val="23"/>
        </w:numPr>
        <w:spacing w:before="0" w:after="40"/>
        <w:jc w:val="left"/>
        <w:rPr>
          <w:rFonts w:ascii="Arial" w:hAnsi="Arial" w:cs="Arial"/>
          <w:sz w:val="18"/>
          <w:szCs w:val="18"/>
          <w:lang w:val="ro-RO"/>
        </w:rPr>
      </w:pPr>
      <w:bookmarkStart w:id="21" w:name="do|caIII|si2|ar15|al1|pt1"/>
      <w:bookmarkEnd w:id="21"/>
      <w:r>
        <w:rPr>
          <w:rStyle w:val="tpt1"/>
          <w:rFonts w:eastAsia="Arial" w:cs="Arial" w:ascii="Arial" w:hAnsi="Arial"/>
          <w:color w:val="auto"/>
          <w:spacing w:val="0"/>
          <w:w w:val="100"/>
          <w:sz w:val="20"/>
          <w:szCs w:val="20"/>
          <w:lang w:val="ro-RO"/>
        </w:rPr>
        <w:t>identificarea pericolelor și evaluarea riscurilor pentru fiecare componentă a sistemului de muncă, respectiv executant, sarcină de muncă, mijloace de muncă/ echipamente de muncă și mediul de muncă pe locuri de muncă/ posturi de lucru;</w:t>
      </w:r>
    </w:p>
    <w:p>
      <w:pPr>
        <w:pStyle w:val="Normal"/>
        <w:widowControl/>
        <w:numPr>
          <w:ilvl w:val="0"/>
          <w:numId w:val="23"/>
        </w:numPr>
        <w:spacing w:before="0" w:after="40"/>
        <w:jc w:val="left"/>
        <w:rPr>
          <w:rFonts w:ascii="Arial" w:hAnsi="Arial" w:cs="Arial"/>
          <w:sz w:val="18"/>
          <w:szCs w:val="18"/>
          <w:lang w:val="ro-RO"/>
        </w:rPr>
      </w:pPr>
      <w:bookmarkStart w:id="22" w:name="do|caIII|si2|ar15|al1|pt2"/>
      <w:bookmarkEnd w:id="22"/>
      <w:r>
        <w:rPr>
          <w:rStyle w:val="tpt1"/>
          <w:rFonts w:eastAsia="Arial" w:cs="Arial" w:ascii="Arial" w:hAnsi="Arial"/>
          <w:bCs/>
          <w:color w:val="auto"/>
          <w:spacing w:val="0"/>
          <w:w w:val="100"/>
          <w:sz w:val="20"/>
          <w:szCs w:val="20"/>
          <w:lang w:val="ro-RO"/>
        </w:rPr>
        <w:t>elaborarea, îndeplinirea, monitorizarea și actualizarea planului de prevenire și protecție</w:t>
      </w:r>
      <w:r>
        <w:rPr>
          <w:rStyle w:val="tpt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ro-RO"/>
        </w:rPr>
      </w:pPr>
      <w:bookmarkStart w:id="23" w:name="do|caIII|si2|ar15|al1|pt3"/>
      <w:bookmarkEnd w:id="23"/>
      <w:r>
        <w:rPr>
          <w:rStyle w:val="tpt1"/>
          <w:rFonts w:eastAsia="Arial" w:cs="Arial" w:ascii="Arial" w:hAnsi="Arial"/>
          <w:bCs/>
          <w:color w:val="auto"/>
          <w:spacing w:val="0"/>
          <w:w w:val="100"/>
          <w:sz w:val="20"/>
          <w:szCs w:val="20"/>
          <w:lang w:val="ro-RO"/>
        </w:rPr>
        <w:t xml:space="preserve">elaborarea de instrucțiuni proprii pentru completarea și/ sau aplicarea reglementărilor de securitate și sănătate în muncă, ținând seama de particularitățile activităților și ale unității/ întreprinderii, precum și ale locurilor de muncă/ posturilor de lucru, și difuzarea acestora în întreprindere și/ sau unitate numai după ce au fost aprobate de către angajator</w:t>
      </w:r>
      <w:r>
        <w:rPr>
          <w:rStyle w:val="tpt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ro-RO"/>
        </w:rPr>
      </w:pPr>
      <w:bookmarkStart w:id="24" w:name="do|caIII|si2|ar15|al1|pt4"/>
      <w:bookmarkEnd w:id="24"/>
      <w:r>
        <w:rPr>
          <w:rStyle w:val="tpt1"/>
          <w:rFonts w:eastAsia="Arial" w:cs="Arial" w:ascii="Arial" w:hAnsi="Arial"/>
          <w:color w:val="auto"/>
          <w:spacing w:val="0"/>
          <w:w w:val="100"/>
          <w:sz w:val="20"/>
          <w:szCs w:val="20"/>
          <w:lang w:val="ro-RO"/>
        </w:rPr>
        <w:t>propunerea atribuțiilor și răspunderilor în domeniul securității și sănătății în muncă, ce revin lucrătorilor, corespunzător funcțiilor exercitate, care se consemnează în fișa postului, cu aprobarea angajatorului;</w:t>
      </w:r>
    </w:p>
    <w:p>
      <w:pPr>
        <w:pStyle w:val="Normal"/>
        <w:widowControl/>
        <w:numPr>
          <w:ilvl w:val="0"/>
          <w:numId w:val="23"/>
        </w:numPr>
        <w:spacing w:before="0" w:after="40"/>
        <w:jc w:val="left"/>
        <w:rPr>
          <w:rFonts w:ascii="Arial" w:hAnsi="Arial" w:cs="Arial"/>
          <w:sz w:val="18"/>
          <w:szCs w:val="18"/>
          <w:lang w:val="ro-RO"/>
        </w:rPr>
      </w:pPr>
      <w:bookmarkStart w:id="25" w:name="do|caIII|si2|ar15|al1|pt5"/>
      <w:bookmarkEnd w:id="25"/>
      <w:r>
        <w:rPr>
          <w:rStyle w:val="tpt1"/>
          <w:rFonts w:eastAsia="Arial" w:cs="Arial" w:ascii="Arial" w:hAnsi="Arial"/>
          <w:bCs/>
          <w:color w:val="auto"/>
          <w:spacing w:val="0"/>
          <w:w w:val="100"/>
          <w:sz w:val="20"/>
          <w:szCs w:val="20"/>
          <w:lang w:val="ro-RO"/>
        </w:rPr>
        <w:t>verificarea însușirii și aplicării de către toți lucrătorii a măsurilor prevăzute în planul de prevenire și protecție, a instrucțiunilor proprii, precum și a atribuțiilor și responsabilităților ce le revin în domeniul securității și sănătății în muncă stabilite prin fișa postului</w:t>
      </w:r>
      <w:r>
        <w:rPr>
          <w:rStyle w:val="tpt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ro-RO"/>
        </w:rPr>
      </w:pPr>
      <w:bookmarkStart w:id="26" w:name="do|caIII|si2|ar15|al1|pt6"/>
      <w:bookmarkEnd w:id="26"/>
      <w:r>
        <w:rPr>
          <w:rStyle w:val="tpt1"/>
          <w:rFonts w:eastAsia="Arial" w:cs="Arial" w:ascii="Arial" w:hAnsi="Arial"/>
          <w:color w:val="auto"/>
          <w:spacing w:val="0"/>
          <w:w w:val="100"/>
          <w:sz w:val="20"/>
          <w:szCs w:val="20"/>
          <w:lang w:val="ro-RO"/>
        </w:rPr>
        <w:t>întocmirea unui necesar de documentații cu caracter tehnic de informare și instruire a lucrătorilor în domeniul securității și sănătății în muncă;</w:t>
      </w:r>
    </w:p>
    <w:p>
      <w:pPr>
        <w:pStyle w:val="Normal"/>
        <w:widowControl/>
        <w:numPr>
          <w:ilvl w:val="0"/>
          <w:numId w:val="23"/>
        </w:numPr>
        <w:spacing w:before="0" w:after="40"/>
        <w:jc w:val="left"/>
        <w:rPr>
          <w:rFonts w:ascii="Arial" w:hAnsi="Arial" w:cs="Arial"/>
          <w:sz w:val="18"/>
          <w:szCs w:val="18"/>
          <w:lang w:val="ro-RO"/>
        </w:rPr>
      </w:pPr>
      <w:bookmarkStart w:id="27" w:name="do|caIII|si2|ar15|al1|pt7"/>
      <w:bookmarkEnd w:id="27"/>
      <w:r>
        <w:rPr>
          <w:rStyle w:val="tpt1"/>
          <w:rFonts w:eastAsia="Arial" w:cs="Arial" w:ascii="Arial" w:hAnsi="Arial"/>
          <w:bCs/>
          <w:color w:val="auto"/>
          <w:spacing w:val="0"/>
          <w:w w:val="100"/>
          <w:sz w:val="20"/>
          <w:szCs w:val="20"/>
          <w:lang w:val="ro-RO"/>
        </w:rPr>
        <w:t>elaborarea tematicii pentru toate fazele de instruire, stabilirea, în scris, a periodicității instruirii adecvate pentru fiecare loc de muncă în instrucțiunile proprii, asigurarea informării și instruirii lucrătorilor în domeniul securității și sănătății în muncă și verificarea însușirii și aplicării de către lucrători a informațiilor primite</w:t>
      </w:r>
      <w:r>
        <w:rPr>
          <w:rStyle w:val="tpt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ro-RO"/>
        </w:rPr>
      </w:pPr>
      <w:bookmarkStart w:id="28" w:name="do|caIII|si2|ar15|al1|pt8"/>
      <w:bookmarkEnd w:id="28"/>
      <w:r>
        <w:rPr>
          <w:rStyle w:val="tpt1"/>
          <w:rFonts w:eastAsia="Arial" w:cs="Arial" w:ascii="Arial" w:hAnsi="Arial"/>
          <w:color w:val="auto"/>
          <w:spacing w:val="0"/>
          <w:w w:val="100"/>
          <w:sz w:val="20"/>
          <w:szCs w:val="20"/>
          <w:lang w:val="ro-RO"/>
        </w:rPr>
        <w:t>elaborarea programului de instruire-testare la nivelul unității;</w:t>
      </w:r>
    </w:p>
    <w:p>
      <w:pPr>
        <w:pStyle w:val="Normal"/>
        <w:widowControl/>
        <w:numPr>
          <w:ilvl w:val="0"/>
          <w:numId w:val="23"/>
        </w:numPr>
        <w:spacing w:before="0" w:after="40"/>
        <w:jc w:val="left"/>
        <w:rPr>
          <w:rFonts w:ascii="Arial" w:hAnsi="Arial" w:cs="Arial"/>
          <w:sz w:val="18"/>
          <w:szCs w:val="18"/>
          <w:lang w:val="ro-RO"/>
        </w:rPr>
      </w:pPr>
      <w:bookmarkStart w:id="29" w:name="do|caIII|si2|ar15|al1|pt9"/>
      <w:bookmarkEnd w:id="29"/>
      <w:r>
        <w:rPr>
          <w:rStyle w:val="tpt1"/>
          <w:rFonts w:eastAsia="Arial" w:cs="Arial" w:ascii="Arial" w:hAnsi="Arial"/>
          <w:color w:val="auto"/>
          <w:spacing w:val="0"/>
          <w:w w:val="100"/>
          <w:sz w:val="20"/>
          <w:szCs w:val="20"/>
          <w:lang w:val="ro-RO"/>
        </w:rPr>
        <w:t xml:space="preserve">asigurarea întocmirii planului de acțiune în caz de pericol grav și iminent și asigurarea ca toți lucrătorii să fie instruiți pentru aplicarea lui;</w:t>
      </w:r>
    </w:p>
    <w:p>
      <w:pPr>
        <w:pStyle w:val="Normal"/>
        <w:widowControl/>
        <w:numPr>
          <w:ilvl w:val="0"/>
          <w:numId w:val="23"/>
        </w:numPr>
        <w:spacing w:before="0" w:after="40"/>
        <w:jc w:val="left"/>
        <w:rPr>
          <w:rFonts w:ascii="Arial" w:hAnsi="Arial" w:cs="Arial"/>
          <w:sz w:val="18"/>
          <w:szCs w:val="18"/>
          <w:lang w:val="it-CH"/>
        </w:rPr>
      </w:pPr>
      <w:bookmarkStart w:id="30" w:name="do|caIII|si2|ar15|al1|pt10"/>
      <w:bookmarkEnd w:id="30"/>
      <w:r>
        <w:rPr>
          <w:rStyle w:val="tpt1"/>
          <w:rFonts w:eastAsia="Arial" w:cs="Arial" w:ascii="Arial" w:hAnsi="Arial"/>
          <w:color w:val="auto"/>
          <w:spacing w:val="0"/>
          <w:w w:val="100"/>
          <w:sz w:val="20"/>
          <w:szCs w:val="20"/>
          <w:lang w:val="ro-RO"/>
        </w:rPr>
        <w:t>evidența zonelor cu risc ridicat și specific;</w:t>
      </w:r>
    </w:p>
    <w:p>
      <w:pPr>
        <w:pStyle w:val="Normal"/>
        <w:widowControl/>
        <w:numPr>
          <w:ilvl w:val="0"/>
          <w:numId w:val="23"/>
        </w:numPr>
        <w:spacing w:before="0" w:after="40"/>
        <w:jc w:val="left"/>
        <w:rPr>
          <w:rFonts w:ascii="Arial" w:hAnsi="Arial" w:cs="Arial"/>
          <w:sz w:val="18"/>
          <w:szCs w:val="18"/>
          <w:lang w:val="fr-FR"/>
        </w:rPr>
      </w:pPr>
      <w:bookmarkStart w:id="31" w:name="do|caIII|si2|ar15|al1|pt11"/>
      <w:bookmarkEnd w:id="31"/>
      <w:r>
        <w:rPr>
          <w:rStyle w:val="tpt1"/>
          <w:rFonts w:eastAsia="Arial" w:cs="Arial" w:ascii="Arial" w:hAnsi="Arial"/>
          <w:color w:val="auto"/>
          <w:spacing w:val="0"/>
          <w:w w:val="100"/>
          <w:sz w:val="20"/>
          <w:szCs w:val="20"/>
          <w:lang w:val="ro-RO"/>
        </w:rPr>
        <w:t xml:space="preserve">stabilirea zonelor care necesită semnalizare de securitate și sănătate în muncă, stabilirea tipului de semnalizare necesar și amplasarea conform prevederilor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971/2006</w:t>
      </w:r>
      <w:r>
        <w:rPr>
          <w:rStyle w:val="tpt1"/>
          <w:rFonts w:eastAsia="Arial" w:cs="Arial" w:ascii="Arial" w:hAnsi="Arial"/>
          <w:color w:val="auto"/>
          <w:spacing w:val="0"/>
          <w:w w:val="100"/>
          <w:sz w:val="20"/>
          <w:szCs w:val="20"/>
          <w:lang w:val="ro-RO"/>
        </w:rPr>
        <w:t xml:space="preserve"> privind cerințele minime pentru semnalizarea de securitate și/ sau sănătate la locul de muncă;</w:t>
      </w:r>
    </w:p>
    <w:p>
      <w:pPr>
        <w:pStyle w:val="Normal"/>
        <w:widowControl/>
        <w:numPr>
          <w:ilvl w:val="0"/>
          <w:numId w:val="23"/>
        </w:numPr>
        <w:spacing w:before="0" w:after="40"/>
        <w:jc w:val="left"/>
        <w:rPr>
          <w:rFonts w:ascii="Arial" w:hAnsi="Arial" w:cs="Arial"/>
          <w:b/>
          <w:sz w:val="18"/>
          <w:szCs w:val="18"/>
          <w:lang w:val="pt-PT"/>
        </w:rPr>
      </w:pPr>
      <w:bookmarkStart w:id="32" w:name="do|caIII|si2|ar15|al1|pt12"/>
      <w:bookmarkEnd w:id="32"/>
      <w:r>
        <w:rPr>
          <w:rStyle w:val="tpt1"/>
          <w:rFonts w:eastAsia="Arial" w:cs="Arial" w:ascii="Arial" w:hAnsi="Arial"/>
          <w:color w:val="auto"/>
          <w:spacing w:val="0"/>
          <w:w w:val="100"/>
          <w:sz w:val="20"/>
          <w:szCs w:val="20"/>
          <w:lang w:val="ro-RO"/>
        </w:rPr>
        <w:t>evidența meseriilor și a profesiilor prevăzute de legislația specifică, pentru care este necesară autorizarea exercitării lor</w:t>
      </w:r>
      <w:r>
        <w:rPr>
          <w:rStyle w:val="tal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pt-PT"/>
        </w:rPr>
      </w:pPr>
      <w:bookmarkStart w:id="33" w:name="do|caIII|si2|ar15|al1|pt13"/>
      <w:bookmarkEnd w:id="33"/>
      <w:r>
        <w:rPr>
          <w:rStyle w:val="tpt1"/>
          <w:rFonts w:eastAsia="Arial" w:cs="Arial" w:ascii="Arial" w:hAnsi="Arial"/>
          <w:color w:val="auto"/>
          <w:spacing w:val="0"/>
          <w:w w:val="100"/>
          <w:sz w:val="20"/>
          <w:szCs w:val="20"/>
          <w:lang w:val="ro-RO"/>
        </w:rPr>
        <w:t>evidența posturilor de lucru care necesită examene medicale suplimentare</w:t>
      </w:r>
      <w:r>
        <w:rPr>
          <w:rStyle w:val="tal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pt-PT"/>
        </w:rPr>
      </w:pPr>
      <w:bookmarkStart w:id="34" w:name="do|caIII|si2|ar15|al1|pt14"/>
      <w:bookmarkEnd w:id="34"/>
      <w:r>
        <w:rPr>
          <w:rStyle w:val="tpt1"/>
          <w:rFonts w:eastAsia="Arial" w:cs="Arial" w:ascii="Arial" w:hAnsi="Arial"/>
          <w:color w:val="auto"/>
          <w:spacing w:val="0"/>
          <w:w w:val="100"/>
          <w:sz w:val="20"/>
          <w:szCs w:val="20"/>
          <w:lang w:val="ro-RO"/>
        </w:rPr>
        <w:t>evidența posturilor de lucru care, la recomandarea medicului de medicina muncii, necesită testarea aptitudinilor și/ sau control psihologic periodic;</w:t>
      </w:r>
    </w:p>
    <w:p>
      <w:pPr>
        <w:pStyle w:val="Normal"/>
        <w:widowControl/>
        <w:numPr>
          <w:ilvl w:val="0"/>
          <w:numId w:val="23"/>
        </w:numPr>
        <w:spacing w:before="0" w:after="40"/>
        <w:jc w:val="left"/>
        <w:rPr>
          <w:rFonts w:ascii="Arial" w:hAnsi="Arial" w:cs="Arial"/>
          <w:sz w:val="18"/>
          <w:szCs w:val="18"/>
          <w:lang w:val="pt-PT"/>
        </w:rPr>
      </w:pPr>
      <w:bookmarkStart w:id="35" w:name="do|caIII|si2|ar15|al1|pt15"/>
      <w:bookmarkEnd w:id="35"/>
      <w:r>
        <w:rPr>
          <w:rStyle w:val="tpt1"/>
          <w:rFonts w:eastAsia="Arial" w:cs="Arial" w:ascii="Arial" w:hAnsi="Arial"/>
          <w:color w:val="auto"/>
          <w:spacing w:val="0"/>
          <w:w w:val="100"/>
          <w:sz w:val="20"/>
          <w:szCs w:val="20"/>
          <w:lang w:val="ro-RO"/>
        </w:rPr>
        <w:t>monitorizarea funcționării sistemelor și dispozitivelor de protecție, a aparaturii de măsură și control, precum și a instalațiilor de ventilare sau a altor instalații pentru controlul noxelor în mediul de muncă;</w:t>
      </w:r>
    </w:p>
    <w:p>
      <w:pPr>
        <w:pStyle w:val="Normal"/>
        <w:widowControl/>
        <w:numPr>
          <w:ilvl w:val="0"/>
          <w:numId w:val="23"/>
        </w:numPr>
        <w:spacing w:before="0" w:after="40"/>
        <w:jc w:val="left"/>
        <w:rPr>
          <w:rFonts w:ascii="Arial" w:hAnsi="Arial" w:cs="Arial"/>
          <w:sz w:val="18"/>
          <w:szCs w:val="18"/>
          <w:lang w:val="pt-PT"/>
        </w:rPr>
      </w:pPr>
      <w:bookmarkStart w:id="36" w:name="do|caIII|si2|ar15|al1|pt16"/>
      <w:bookmarkEnd w:id="36"/>
      <w:r>
        <w:rPr>
          <w:rStyle w:val="tpt1"/>
          <w:rFonts w:eastAsia="Arial" w:cs="Arial" w:ascii="Arial" w:hAnsi="Arial"/>
          <w:color w:val="auto"/>
          <w:spacing w:val="0"/>
          <w:w w:val="100"/>
          <w:sz w:val="20"/>
          <w:szCs w:val="20"/>
          <w:lang w:val="ro-RO"/>
        </w:rPr>
        <w:t>verificarea stării de funcționare a sistemelor de alarmare, avertizare, semnalizare de urgență, precum și a sistemelor de siguranță;</w:t>
      </w:r>
    </w:p>
    <w:p>
      <w:pPr>
        <w:pStyle w:val="Normal"/>
        <w:widowControl/>
        <w:numPr>
          <w:ilvl w:val="0"/>
          <w:numId w:val="23"/>
        </w:numPr>
        <w:spacing w:before="0" w:after="40"/>
        <w:jc w:val="left"/>
        <w:rPr>
          <w:rFonts w:ascii="Arial" w:hAnsi="Arial" w:cs="Arial"/>
          <w:sz w:val="18"/>
          <w:szCs w:val="18"/>
          <w:lang w:val="pt-PT"/>
        </w:rPr>
      </w:pPr>
      <w:bookmarkStart w:id="37" w:name="do|caIII|si2|ar15|al1|pt17"/>
      <w:bookmarkEnd w:id="37"/>
      <w:r>
        <w:rPr>
          <w:rStyle w:val="tpt1"/>
          <w:rFonts w:eastAsia="Arial" w:cs="Arial" w:ascii="Arial" w:hAnsi="Arial"/>
          <w:bCs/>
          <w:color w:val="auto"/>
          <w:spacing w:val="0"/>
          <w:w w:val="100"/>
          <w:sz w:val="20"/>
          <w:szCs w:val="20"/>
          <w:lang w:val="ro-RO"/>
        </w:rPr>
        <w:t>efectuarea controalelor interne la locurile de muncă, cu informarea, în scris, a angajatorului asupra deficiențelor constatate și asupra măsurilor propuse pentru remedierea acestora</w:t>
      </w:r>
      <w:r>
        <w:rPr>
          <w:rStyle w:val="tal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pt-PT"/>
        </w:rPr>
      </w:pPr>
      <w:bookmarkStart w:id="38" w:name="do|caIII|si2|ar15|al1|pt18"/>
      <w:bookmarkEnd w:id="38"/>
      <w:r>
        <w:rPr>
          <w:rStyle w:val="tpt1"/>
          <w:rFonts w:eastAsia="Arial" w:cs="Arial" w:ascii="Arial" w:hAnsi="Arial"/>
          <w:color w:val="auto"/>
          <w:spacing w:val="0"/>
          <w:w w:val="100"/>
          <w:sz w:val="20"/>
          <w:szCs w:val="20"/>
          <w:lang w:val="ro-RO"/>
        </w:rPr>
        <w:t xml:space="preserve">întocmirea rapoartelor și/ sau a listelor prevăzute de hotărârile Guvernului emise în temeiul art. 51 alin. (1) lit. b) din Legea 319/2006, inclusiv cele referitoare la azbest, vibrații, zgomot și șantiere temporare și mobile;</w:t>
      </w:r>
    </w:p>
    <w:p>
      <w:pPr>
        <w:pStyle w:val="Normal"/>
        <w:widowControl/>
        <w:numPr>
          <w:ilvl w:val="0"/>
          <w:numId w:val="23"/>
        </w:numPr>
        <w:spacing w:before="0" w:after="40"/>
        <w:jc w:val="left"/>
        <w:rPr>
          <w:rFonts w:ascii="Arial" w:hAnsi="Arial" w:cs="Arial"/>
          <w:sz w:val="18"/>
          <w:szCs w:val="18"/>
          <w:lang w:val="pt-PT"/>
        </w:rPr>
      </w:pPr>
      <w:bookmarkStart w:id="39" w:name="do|caIII|si2|ar15|al1|pt19"/>
      <w:bookmarkEnd w:id="39"/>
      <w:r>
        <w:rPr>
          <w:rStyle w:val="tpt1"/>
          <w:rFonts w:eastAsia="Arial" w:cs="Arial" w:ascii="Arial" w:hAnsi="Arial"/>
          <w:color w:val="auto"/>
          <w:spacing w:val="0"/>
          <w:w w:val="100"/>
          <w:sz w:val="20"/>
          <w:szCs w:val="20"/>
          <w:lang w:val="ro-RO"/>
        </w:rPr>
        <w:t xml:space="preserve">evidența echipamentelor de muncă și urmărirea ca verificările periodice și, dacă este cazul, încercările periodice ale echipamentelor de muncă să fie efectuate de persoane competente, conform prevederilor din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1146/2006</w:t>
      </w:r>
      <w:r>
        <w:rPr>
          <w:rStyle w:val="tpt1"/>
          <w:rFonts w:eastAsia="Arial" w:cs="Arial" w:ascii="Arial" w:hAnsi="Arial"/>
          <w:color w:val="auto"/>
          <w:spacing w:val="0"/>
          <w:w w:val="100"/>
          <w:sz w:val="20"/>
          <w:szCs w:val="20"/>
          <w:lang w:val="ro-RO"/>
        </w:rPr>
        <w:t xml:space="preserve"> privind cerințele minime de securitate și sănătate pentru utilizarea în muncă de către lucrători a echipamentelor de muncă;</w:t>
      </w:r>
    </w:p>
    <w:p>
      <w:pPr>
        <w:pStyle w:val="Normal"/>
        <w:widowControl/>
        <w:numPr>
          <w:ilvl w:val="0"/>
          <w:numId w:val="23"/>
        </w:numPr>
        <w:spacing w:before="0" w:after="40"/>
        <w:jc w:val="left"/>
        <w:rPr>
          <w:rFonts w:ascii="Arial" w:hAnsi="Arial" w:cs="Arial"/>
          <w:sz w:val="18"/>
          <w:szCs w:val="18"/>
          <w:lang w:val="pt-PT"/>
        </w:rPr>
      </w:pPr>
      <w:bookmarkStart w:id="40" w:name="do|caIII|si2|ar15|al1|pt20"/>
      <w:bookmarkEnd w:id="40"/>
      <w:r>
        <w:rPr>
          <w:rStyle w:val="tpt1"/>
          <w:rFonts w:eastAsia="Arial" w:cs="Arial" w:ascii="Arial" w:hAnsi="Arial"/>
          <w:color w:val="auto"/>
          <w:spacing w:val="0"/>
          <w:w w:val="100"/>
          <w:sz w:val="20"/>
          <w:szCs w:val="20"/>
          <w:lang w:val="ro-RO"/>
        </w:rPr>
        <w:t xml:space="preserve">identificarea echipamentelor individuale de protecție necesare pentru posturile de lucru din întreprindere și întocmirea necesarului de dotare a lucrătorilor cu echipament individual de protecție, conform prevederilor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1048/2006</w:t>
      </w:r>
      <w:r>
        <w:rPr>
          <w:rStyle w:val="tpt1"/>
          <w:rFonts w:eastAsia="Arial" w:cs="Arial" w:ascii="Arial" w:hAnsi="Arial"/>
          <w:color w:val="auto"/>
          <w:spacing w:val="0"/>
          <w:w w:val="100"/>
          <w:sz w:val="20"/>
          <w:szCs w:val="20"/>
          <w:lang w:val="ro-RO"/>
        </w:rPr>
        <w:t xml:space="preserve"> privind cerințele minime de securitate și sănătate pentru utilizarea de către lucrători a echipamentelor individuale de protecție la locul de muncă;</w:t>
      </w:r>
    </w:p>
    <w:p>
      <w:pPr>
        <w:pStyle w:val="Normal"/>
        <w:widowControl/>
        <w:numPr>
          <w:ilvl w:val="0"/>
          <w:numId w:val="23"/>
        </w:numPr>
        <w:spacing w:before="0" w:after="40"/>
        <w:jc w:val="left"/>
        <w:rPr>
          <w:rFonts w:ascii="Arial" w:hAnsi="Arial" w:cs="Arial"/>
          <w:sz w:val="18"/>
          <w:szCs w:val="18"/>
          <w:lang w:val="pt-PT"/>
        </w:rPr>
      </w:pPr>
      <w:bookmarkStart w:id="41" w:name="do|caIII|si2|ar15|al1|pt21"/>
      <w:bookmarkEnd w:id="41"/>
      <w:r>
        <w:rPr>
          <w:rStyle w:val="tpt1"/>
          <w:rFonts w:eastAsia="Arial" w:cs="Arial" w:ascii="Arial" w:hAnsi="Arial"/>
          <w:color w:val="auto"/>
          <w:spacing w:val="0"/>
          <w:w w:val="100"/>
          <w:sz w:val="20"/>
          <w:szCs w:val="20"/>
          <w:lang w:val="ro-RO"/>
        </w:rPr>
        <w:t xml:space="preserve">urmărirea întreținerii, manipulării și depozitării adecvate a echipamentelor individuale de protecție și a înlocuirii lor la termenele stabilite, precum și în celelalte situații prevăzute de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 xml:space="preserve">1048/2006</w:t>
      </w:r>
      <w:r>
        <w:rPr>
          <w:rStyle w:val="tpt1"/>
          <w:rFonts w:eastAsia="Arial" w:cs="Arial" w:ascii="Arial" w:hAnsi="Arial"/>
          <w:color w:val="auto"/>
          <w:spacing w:val="0"/>
          <w:w w:val="100"/>
          <w:sz w:val="20"/>
          <w:szCs w:val="20"/>
          <w:lang w:val="ro-RO"/>
        </w:rPr>
        <w:t xml:space="preserve"> privind cerințele minime de securitate și sănătate pentru utilizarea de către lucrători a echipamentelor individuale de protecție la locul de muncă;</w:t>
      </w:r>
    </w:p>
    <w:p>
      <w:pPr>
        <w:pStyle w:val="Normal"/>
        <w:widowControl/>
        <w:numPr>
          <w:ilvl w:val="0"/>
          <w:numId w:val="23"/>
        </w:numPr>
        <w:spacing w:before="0" w:after="40"/>
        <w:jc w:val="left"/>
        <w:rPr>
          <w:rFonts w:ascii="Arial" w:hAnsi="Arial" w:cs="Arial"/>
          <w:sz w:val="18"/>
          <w:szCs w:val="18"/>
        </w:rPr>
      </w:pPr>
      <w:bookmarkStart w:id="42" w:name="do|caIII|si2|ar15|al1|pt22"/>
      <w:bookmarkEnd w:id="42"/>
      <w:r>
        <w:rPr>
          <w:rStyle w:val="tpt1"/>
          <w:rFonts w:eastAsia="Arial" w:cs="Arial" w:ascii="Arial" w:hAnsi="Arial"/>
          <w:color w:val="auto"/>
          <w:spacing w:val="0"/>
          <w:w w:val="100"/>
          <w:sz w:val="20"/>
          <w:szCs w:val="20"/>
          <w:lang w:val="ro-RO"/>
        </w:rPr>
        <w:t>participarea la cercetarea evenimentelor;</w:t>
      </w:r>
    </w:p>
    <w:p>
      <w:pPr>
        <w:pStyle w:val="Normal"/>
        <w:widowControl/>
        <w:numPr>
          <w:ilvl w:val="0"/>
          <w:numId w:val="23"/>
        </w:numPr>
        <w:spacing w:before="0" w:after="40"/>
        <w:jc w:val="left"/>
        <w:rPr>
          <w:rFonts w:ascii="Arial" w:hAnsi="Arial" w:cs="Arial"/>
          <w:sz w:val="18"/>
          <w:szCs w:val="18"/>
        </w:rPr>
      </w:pPr>
      <w:bookmarkStart w:id="43" w:name="do|caIII|si2|ar15|al1|pt23"/>
      <w:bookmarkEnd w:id="43"/>
      <w:r>
        <w:rPr>
          <w:rStyle w:val="tpt1"/>
          <w:rFonts w:eastAsia="Arial" w:cs="Arial" w:ascii="Arial" w:hAnsi="Arial"/>
          <w:color w:val="auto"/>
          <w:spacing w:val="0"/>
          <w:w w:val="100"/>
          <w:sz w:val="20"/>
          <w:szCs w:val="20"/>
          <w:lang w:val="ro-RO"/>
        </w:rPr>
        <w:t>întocmirea evidențelor;</w:t>
      </w:r>
    </w:p>
    <w:p>
      <w:pPr>
        <w:pStyle w:val="Normal"/>
        <w:widowControl/>
        <w:numPr>
          <w:ilvl w:val="0"/>
          <w:numId w:val="23"/>
        </w:numPr>
        <w:spacing w:before="0" w:after="40"/>
        <w:jc w:val="left"/>
        <w:rPr>
          <w:rFonts w:ascii="Arial" w:hAnsi="Arial" w:cs="Arial"/>
          <w:sz w:val="18"/>
          <w:szCs w:val="18"/>
          <w:lang w:val="it-IT"/>
        </w:rPr>
      </w:pPr>
      <w:bookmarkStart w:id="44" w:name="do|caIII|si2|ar15|al1|pt24"/>
      <w:bookmarkEnd w:id="44"/>
      <w:r>
        <w:rPr>
          <w:rStyle w:val="tpt1"/>
          <w:rFonts w:eastAsia="Arial" w:cs="Arial" w:ascii="Arial" w:hAnsi="Arial"/>
          <w:color w:val="auto"/>
          <w:spacing w:val="0"/>
          <w:w w:val="100"/>
          <w:sz w:val="20"/>
          <w:szCs w:val="20"/>
          <w:lang w:val="ro-RO"/>
        </w:rPr>
        <w:t xml:space="preserve">elaborarea rapoartelor privind accidentele de muncă suferite de lucrătorii din unitate, în conformitate cu prevederile </w:t>
      </w:r>
      <w:r>
        <w:rPr>
          <w:rStyle w:val="tpt1"/>
          <w:rFonts w:eastAsia="Arial" w:cs="Arial" w:ascii="Arial" w:hAnsi="Arial"/>
          <w:i/>
          <w:color w:val="auto"/>
          <w:spacing w:val="0"/>
          <w:w w:val="100"/>
          <w:sz w:val="20"/>
          <w:szCs w:val="20"/>
          <w:lang w:val="ro-RO"/>
        </w:rPr>
        <w:t xml:space="preserve">art. 12 alin. (1) lit. d) din Legea 319/2006</w:t>
      </w:r>
      <w:r>
        <w:rPr>
          <w:rStyle w:val="tpt1"/>
          <w:rFonts w:eastAsia="Arial" w:cs="Arial" w:ascii="Arial" w:hAnsi="Arial"/>
          <w:color w:val="auto"/>
          <w:spacing w:val="0"/>
          <w:w w:val="100"/>
          <w:sz w:val="20"/>
          <w:szCs w:val="20"/>
          <w:lang w:val="ro-RO"/>
        </w:rPr>
        <w:t xml:space="preserve">;</w:t>
      </w:r>
    </w:p>
    <w:p>
      <w:pPr>
        <w:pStyle w:val="Normal"/>
        <w:widowControl/>
        <w:numPr>
          <w:ilvl w:val="0"/>
          <w:numId w:val="23"/>
        </w:numPr>
        <w:spacing w:before="0" w:after="40"/>
        <w:jc w:val="left"/>
        <w:rPr>
          <w:rFonts w:ascii="Arial" w:hAnsi="Arial" w:cs="Arial"/>
          <w:sz w:val="18"/>
          <w:szCs w:val="18"/>
          <w:lang w:val="pt-PT"/>
        </w:rPr>
      </w:pPr>
      <w:bookmarkStart w:id="45" w:name="do|caIII|si2|ar15|al1|pt25"/>
      <w:bookmarkEnd w:id="45"/>
      <w:r>
        <w:rPr>
          <w:rStyle w:val="tpt1"/>
          <w:rFonts w:eastAsia="Arial" w:cs="Arial" w:ascii="Arial" w:hAnsi="Arial"/>
          <w:color w:val="auto"/>
          <w:spacing w:val="0"/>
          <w:w w:val="100"/>
          <w:sz w:val="20"/>
          <w:szCs w:val="20"/>
          <w:lang w:val="ro-RO"/>
        </w:rPr>
        <w:t>urmărirea realizării măsurilor dispuse de către inspectorii de muncă, cu prilejul vizitelor de control și al cercetării evenimentelor;</w:t>
      </w:r>
    </w:p>
    <w:p>
      <w:pPr>
        <w:pStyle w:val="Normal"/>
        <w:widowControl/>
        <w:numPr>
          <w:ilvl w:val="0"/>
          <w:numId w:val="23"/>
        </w:numPr>
        <w:spacing w:before="0" w:after="40"/>
        <w:jc w:val="left"/>
        <w:rPr>
          <w:rFonts w:ascii="Arial" w:hAnsi="Arial" w:cs="Arial"/>
          <w:sz w:val="18"/>
          <w:szCs w:val="18"/>
          <w:lang w:val="pt-PT"/>
        </w:rPr>
      </w:pPr>
      <w:bookmarkStart w:id="46" w:name="do|caIII|si2|ar15|al1|pt26"/>
      <w:bookmarkEnd w:id="46"/>
      <w:r>
        <w:rPr>
          <w:rStyle w:val="tpt1"/>
          <w:rFonts w:eastAsia="Arial" w:cs="Arial" w:ascii="Arial" w:hAnsi="Arial"/>
          <w:color w:val="auto"/>
          <w:spacing w:val="0"/>
          <w:w w:val="100"/>
          <w:sz w:val="20"/>
          <w:szCs w:val="20"/>
          <w:lang w:val="ro-RO"/>
        </w:rPr>
        <w:t>colaborarea cu lucrătorii și/ sau reprezentanții lucrătorilor, serviciile externe de prevenire și protecție, medicul de medicina muncii, în vederea coordonării măsurilor de prevenire și protecție;</w:t>
      </w:r>
    </w:p>
    <w:p>
      <w:pPr>
        <w:pStyle w:val="Normal"/>
        <w:widowControl/>
        <w:numPr>
          <w:ilvl w:val="0"/>
          <w:numId w:val="23"/>
        </w:numPr>
        <w:spacing w:before="0" w:after="40"/>
        <w:jc w:val="left"/>
        <w:rPr>
          <w:rFonts w:ascii="Arial" w:hAnsi="Arial" w:cs="Arial"/>
          <w:sz w:val="18"/>
          <w:szCs w:val="18"/>
          <w:lang w:val="pt-PT"/>
        </w:rPr>
      </w:pPr>
      <w:bookmarkStart w:id="47" w:name="do|caIII|si2|ar15|al1|pt27"/>
      <w:bookmarkEnd w:id="47"/>
      <w:r>
        <w:rPr>
          <w:rStyle w:val="tpt1"/>
          <w:rFonts w:eastAsia="Arial" w:cs="Arial" w:ascii="Arial" w:hAnsi="Arial"/>
          <w:color w:val="auto"/>
          <w:spacing w:val="0"/>
          <w:w w:val="100"/>
          <w:sz w:val="20"/>
          <w:szCs w:val="20"/>
          <w:lang w:val="ro-RO"/>
        </w:rPr>
        <w:t>colaborarea cu lucrătorii desemnați/ serviciile interne/ serviciile externe ai/ ale altor angajatori, în situația în care mai mulți angajatori își desfășoară activitatea în același loc de muncă;</w:t>
      </w:r>
    </w:p>
    <w:p>
      <w:pPr>
        <w:pStyle w:val="Normal"/>
        <w:widowControl/>
        <w:numPr>
          <w:ilvl w:val="0"/>
          <w:numId w:val="23"/>
        </w:numPr>
        <w:spacing w:before="0" w:after="40"/>
        <w:jc w:val="left"/>
        <w:rPr>
          <w:rFonts w:ascii="Arial" w:hAnsi="Arial" w:cs="Arial"/>
          <w:sz w:val="18"/>
          <w:szCs w:val="18"/>
          <w:lang w:val="pt-PT"/>
        </w:rPr>
      </w:pPr>
      <w:bookmarkStart w:id="48" w:name="do|caIII|si2|ar15|al1|pt28"/>
      <w:bookmarkEnd w:id="48"/>
      <w:r>
        <w:rPr>
          <w:rStyle w:val="tpt1"/>
          <w:rFonts w:eastAsia="Arial" w:cs="Arial" w:ascii="Arial" w:hAnsi="Arial"/>
          <w:color w:val="auto"/>
          <w:spacing w:val="0"/>
          <w:w w:val="100"/>
          <w:sz w:val="20"/>
          <w:szCs w:val="20"/>
          <w:lang w:val="ro-RO"/>
        </w:rPr>
        <w:t>urmărirea actualizării planului de avertizare, a planului de protecție și prevenire și a planului de evacuare;</w:t>
      </w:r>
    </w:p>
    <w:p>
      <w:pPr>
        <w:pStyle w:val="Normal"/>
        <w:widowControl/>
        <w:numPr>
          <w:ilvl w:val="0"/>
          <w:numId w:val="23"/>
        </w:numPr>
        <w:spacing w:before="0" w:after="40"/>
        <w:jc w:val="left"/>
        <w:rPr>
          <w:rFonts w:ascii="Arial" w:hAnsi="Arial" w:cs="Arial"/>
          <w:sz w:val="18"/>
          <w:szCs w:val="18"/>
          <w:lang w:val="pt-PT"/>
        </w:rPr>
      </w:pPr>
      <w:bookmarkStart w:id="49" w:name="do|caIII|si2|ar15|al1|pt29"/>
      <w:bookmarkEnd w:id="49"/>
      <w:r>
        <w:rPr>
          <w:rStyle w:val="tpt1"/>
          <w:rFonts w:eastAsia="Arial" w:cs="Arial" w:ascii="Arial" w:hAnsi="Arial"/>
          <w:bCs/>
          <w:color w:val="auto"/>
          <w:spacing w:val="0"/>
          <w:w w:val="100"/>
          <w:sz w:val="20"/>
          <w:szCs w:val="20"/>
          <w:lang w:val="ro-RO"/>
        </w:rPr>
        <w:t>propunerea de sancțiuni și stimulente pentru lucrători, pe criteriul îndeplinirii obligațiilor și atribuțiilor în domeniul securității și sănătății în muncă</w:t>
      </w:r>
      <w:r>
        <w:rPr>
          <w:rStyle w:val="tpt1"/>
          <w:rFonts w:eastAsia="Arial" w:cs="Arial" w:ascii="Arial" w:hAnsi="Arial"/>
          <w:color w:val="auto"/>
          <w:spacing w:val="0"/>
          <w:w w:val="100"/>
          <w:sz w:val="20"/>
          <w:szCs w:val="20"/>
          <w:lang w:val="ro-RO"/>
        </w:rPr>
        <w:t>;</w:t>
      </w:r>
    </w:p>
    <w:p>
      <w:pPr>
        <w:pStyle w:val="Normal"/>
        <w:widowControl/>
        <w:numPr>
          <w:ilvl w:val="0"/>
          <w:numId w:val="23"/>
        </w:numPr>
        <w:spacing w:before="0" w:after="40"/>
        <w:jc w:val="left"/>
        <w:rPr>
          <w:rFonts w:ascii="Arial" w:hAnsi="Arial" w:cs="Arial"/>
          <w:sz w:val="18"/>
          <w:szCs w:val="18"/>
          <w:lang w:val="pt-PT"/>
        </w:rPr>
      </w:pPr>
      <w:bookmarkStart w:id="50" w:name="do|caIII|si2|ar15|al1|pt30"/>
      <w:bookmarkEnd w:id="50"/>
      <w:r>
        <w:rPr>
          <w:rStyle w:val="tpt1"/>
          <w:rFonts w:eastAsia="Arial" w:cs="Arial" w:ascii="Arial" w:hAnsi="Arial"/>
          <w:color w:val="auto"/>
          <w:spacing w:val="0"/>
          <w:w w:val="100"/>
          <w:sz w:val="20"/>
          <w:szCs w:val="20"/>
          <w:lang w:val="ro-RO"/>
        </w:rPr>
        <w:t>propunerea de clauze privind securitatea și sănătatea în muncă la încheierea contractelor de prestări de servicii cu alți angajatori, inclusiv la cele încheiate cu angajatori străini;</w:t>
      </w:r>
    </w:p>
    <w:p>
      <w:pPr>
        <w:pStyle w:val="Normal"/>
        <w:widowControl/>
        <w:numPr>
          <w:ilvl w:val="0"/>
          <w:numId w:val="23"/>
        </w:numPr>
        <w:spacing w:before="0" w:after="40"/>
        <w:jc w:val="left"/>
        <w:rPr>
          <w:rStyle w:val="tpt1"/>
          <w:rFonts w:ascii="Arial" w:hAnsi="Arial" w:cs="Arial"/>
          <w:sz w:val="18"/>
          <w:szCs w:val="18"/>
          <w:lang w:val="es-ES_tradnl"/>
        </w:rPr>
      </w:pPr>
      <w:bookmarkStart w:id="51" w:name="do|caIII|si2|ar15|al1|pt31"/>
      <w:bookmarkEnd w:id="51"/>
      <w:r>
        <w:rPr>
          <w:rStyle w:val="tpt1"/>
          <w:rFonts w:eastAsia="Arial" w:cs="Arial" w:ascii="Arial" w:hAnsi="Arial"/>
          <w:color w:val="auto"/>
          <w:spacing w:val="0"/>
          <w:w w:val="100"/>
          <w:sz w:val="20"/>
          <w:szCs w:val="20"/>
          <w:lang w:val="ro-RO"/>
        </w:rPr>
        <w:t>întocmirea unui necesar de mijloace materiale pentru desfășurarea acestor activități;</w:t>
      </w:r>
    </w:p>
    <w:p>
      <w:pPr>
        <w:pStyle w:val="Normal"/>
        <w:widowControl/>
        <w:numPr>
          <w:ilvl w:val="0"/>
          <w:numId w:val="23"/>
        </w:numPr>
        <w:spacing w:before="0" w:after="40"/>
        <w:jc w:val="left"/>
        <w:rPr>
          <w:rFonts w:ascii="Arial" w:hAnsi="Arial" w:cs="Arial"/>
          <w:sz w:val="18"/>
          <w:szCs w:val="18"/>
          <w:lang w:val="es-ES_tradnl"/>
        </w:rPr>
      </w:pPr>
      <w:r>
        <w:rPr>
          <w:rStyle w:val="tpt1"/>
          <w:rFonts w:eastAsia="Arial" w:cs="Arial" w:ascii="Arial" w:hAnsi="Arial"/>
          <w:bCs/>
          <w:color w:val="auto"/>
          <w:spacing w:val="0"/>
          <w:w w:val="100"/>
          <w:sz w:val="20"/>
          <w:szCs w:val="20"/>
          <w:lang w:val="ro-RO"/>
        </w:rPr>
        <w:t xml:space="preserve">evidența echipamentelor, zonarea corespunzătoare, asigurarea/ urmărirea ca verificările și/ sau încercările periodice ale echipamentelor de muncă să fie efectuate la timp și de către persoane competente ori alte activități necesare, potrivit prevederilor H.G. </w:t>
      </w:r>
      <w:r>
        <w:rPr>
          <w:rFonts w:eastAsia="Arial" w:cs="Arial" w:ascii="Arial" w:hAnsi="Arial"/>
          <w:color w:val="auto"/>
          <w:spacing w:val="0"/>
          <w:w w:val="100"/>
          <w:sz w:val="20"/>
          <w:szCs w:val="20"/>
          <w:u w:val="none"/>
          <w:lang w:val="ro-RO"/>
        </w:rPr>
        <w:t xml:space="preserve">1058/2006</w:t>
      </w:r>
      <w:r>
        <w:rPr>
          <w:rStyle w:val="tpt1"/>
          <w:rFonts w:eastAsia="Arial" w:cs="Arial" w:ascii="Arial" w:hAnsi="Arial"/>
          <w:bCs/>
          <w:color w:val="auto"/>
          <w:spacing w:val="0"/>
          <w:w w:val="100"/>
          <w:sz w:val="20"/>
          <w:szCs w:val="20"/>
          <w:lang w:val="ro-RO"/>
        </w:rPr>
        <w:t xml:space="preserve"> privind cerințele minime pentru îmbunătățirea securității și protecția sănătății lucrătorilor care pot fi expuși unui potențial risc datorat atmosferelor explozive;</w:t>
      </w:r>
    </w:p>
    <w:p>
      <w:pPr>
        <w:pStyle w:val="Normal"/>
        <w:widowControl/>
        <w:numPr>
          <w:ilvl w:val="0"/>
          <w:numId w:val="23"/>
        </w:numPr>
        <w:spacing w:before="0" w:after="120"/>
        <w:jc w:val="left"/>
        <w:rPr>
          <w:rFonts w:ascii="Arial" w:hAnsi="Arial" w:cs="Arial"/>
          <w:sz w:val="18"/>
          <w:szCs w:val="18"/>
          <w:lang w:val="es-ES_tradnl"/>
        </w:rPr>
      </w:pPr>
      <w:r>
        <w:rPr>
          <w:rStyle w:val="tpt1"/>
          <w:rFonts w:eastAsia="Arial" w:cs="Arial" w:ascii="Arial" w:hAnsi="Arial"/>
          <w:bCs/>
          <w:color w:val="auto"/>
          <w:spacing w:val="0"/>
          <w:w w:val="100"/>
          <w:sz w:val="20"/>
          <w:szCs w:val="20"/>
          <w:lang w:val="ro-RO"/>
        </w:rPr>
        <w:t>alte activități necesare/ specifice asigurării securității și sănătății lucrătorilor la locul de muncă.</w:t>
      </w:r>
    </w:p>
    <w:p>
      <w:pPr>
        <w:pStyle w:val="Normal"/>
        <w:keepNext w:val="true"/>
        <w:widowControl/>
        <w:tabs>
          <w:tab w:val="clear" w:pos="720"/>
          <w:tab w:val="left" w:pos="567" w:leader="none"/>
        </w:tabs>
        <w:spacing w:before="240" w:after="120"/>
        <w:ind w:hanging="0"/>
        <w:jc w:val="center"/>
        <w:rPr>
          <w:rStyle w:val="tpt1"/>
          <w:rFonts w:ascii="Arial" w:hAnsi="Arial" w:cs="Arial"/>
          <w:b/>
          <w:sz w:val="18"/>
          <w:szCs w:val="18"/>
          <w:lang w:val="fr-FR"/>
        </w:rPr>
      </w:pPr>
      <w:r>
        <w:rPr>
          <w:rFonts w:eastAsia="Arial" w:cs="Arial" w:ascii="Arial" w:hAnsi="Arial"/>
          <w:b/>
          <w:color w:val="auto"/>
          <w:spacing w:val="0"/>
          <w:w w:val="100"/>
          <w:sz w:val="20"/>
          <w:szCs w:val="20"/>
          <w:lang w:val="ro-RO"/>
        </w:rPr>
        <w:t xml:space="preserve">Capitolul XI. Informații privind </w:t>
      </w:r>
      <w:r>
        <w:rPr>
          <w:rStyle w:val="tpt1"/>
          <w:rFonts w:eastAsia="Arial" w:cs="Arial" w:ascii="Arial" w:hAnsi="Arial"/>
          <w:b/>
          <w:color w:val="auto"/>
          <w:spacing w:val="0"/>
          <w:w w:val="100"/>
          <w:sz w:val="20"/>
          <w:szCs w:val="20"/>
          <w:lang w:val="ro-RO"/>
        </w:rPr>
        <w:t>întocmirea regulamentului intern</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Sănătate și securitate în muncă, medicina muncii, situații de urgență și igiena muncii</w:t>
      </w:r>
      <w:r>
        <w:rPr>
          <w:rFonts w:eastAsia="Arial" w:cs="Arial" w:ascii="Arial" w:hAnsi="Arial"/>
          <w:color w:val="auto"/>
          <w:spacing w:val="0"/>
          <w:w w:val="100"/>
          <w:sz w:val="20"/>
          <w:szCs w:val="20"/>
          <w:lang w:val="ro-RO"/>
        </w:rPr>
        <w:t>:</w:t>
      </w:r>
    </w:p>
    <w:p>
      <w:pPr>
        <w:pStyle w:val="BodyTextIndent"/>
        <w:widowControl/>
        <w:numPr>
          <w:ilvl w:val="0"/>
          <w:numId w:val="7"/>
        </w:numPr>
        <w:spacing w:before="0" w:after="40"/>
        <w:ind w:right="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Angajatorul are obligația, potrivit Legii 319/2006, să ia toate măsurile necesare pentru protejarea vieții și sănătății salariaților, pentru prevenirea riscurilor profesionale, pentru informarea și pregătirea lucrătorilor cu privire la aceste riscuri, organizarea securității și sănătății în muncă și a mijloacelor necesare acesteia.</w:t>
      </w:r>
    </w:p>
    <w:p>
      <w:pPr>
        <w:pStyle w:val="Normal"/>
        <w:widowControl/>
        <w:numPr>
          <w:ilvl w:val="0"/>
          <w:numId w:val="7"/>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Măsurile privind securitatea și sănătatea în muncă nu pot să determine obligații financiare pentru lucrători.</w:t>
      </w:r>
    </w:p>
    <w:p>
      <w:pPr>
        <w:pStyle w:val="Normal"/>
        <w:keepNext/>
        <w:widowControl/>
        <w:numPr>
          <w:ilvl w:val="0"/>
          <w:numId w:val="7"/>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Instrucțiunile proprii și normativele interne de securitate și sănătate a muncii stabilesc:</w:t>
      </w:r>
    </w:p>
    <w:p>
      <w:pPr>
        <w:pStyle w:val="Normal"/>
        <w:widowControl/>
        <w:numPr>
          <w:ilvl w:val="0"/>
          <w:numId w:val="16"/>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măsuri interne de securitate și sănătate a muncii pentru prevenirea accidentelor de muncă și a bolilor profesionale aplicabile tuturor lucrătorilor;</w:t>
      </w:r>
    </w:p>
    <w:p>
      <w:pPr>
        <w:pStyle w:val="Normal"/>
        <w:widowControl/>
        <w:numPr>
          <w:ilvl w:val="0"/>
          <w:numId w:val="16"/>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echipamentul de lucru și de protecție pe meserii și posturi de lucru.</w:t>
      </w:r>
    </w:p>
    <w:p>
      <w:pPr>
        <w:pStyle w:val="Heading4"/>
        <w:widowControl/>
        <w:numPr>
          <w:ilvl w:val="0"/>
          <w:numId w:val="7"/>
        </w:numPr>
        <w:spacing w:before="0" w:after="40"/>
        <w:ind w:right="0"/>
        <w:jc w:val="left"/>
        <w:rPr>
          <w:rFonts w:ascii="Arial" w:hAnsi="Arial" w:cs="Arial"/>
          <w:b w:val="false"/>
          <w:bCs/>
          <w:sz w:val="18"/>
          <w:szCs w:val="18"/>
          <w:lang w:val="it-IT"/>
        </w:rPr>
      </w:pPr>
      <w:r>
        <w:rPr>
          <w:rFonts w:eastAsia="Arial" w:cs="Arial" w:ascii="Arial" w:hAnsi="Arial"/>
          <w:b w:val="false"/>
          <w:bCs/>
          <w:color w:val="auto"/>
          <w:spacing w:val="0"/>
          <w:w w:val="100"/>
          <w:sz w:val="20"/>
          <w:szCs w:val="20"/>
          <w:lang w:val="ro-RO"/>
        </w:rPr>
        <w:t>Angajatorul are următoarele obligații în domeniul securității și sănătății muncii:</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asigure evaluarea riscurilor pentru securitatea și sănătatea lucrătorilor în vederea stabilirii măsurilor de prevenire, incluzând echipamentul și amenajarea locului de muncă etc.;</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să dispună evaluarea riscurilor de accidentare și îmbolnăvire profesională pentru toate locurile de muncă;</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solicite autorizarea funcționării </w:t>
      </w:r>
      <w:r>
        <w:rPr>
          <w:rFonts w:eastAsia="Arial" w:cs="Arial" w:ascii="Arial" w:hAnsi="Arial"/>
          <w:color w:val="auto"/>
          <w:spacing w:val="0"/>
          <w:w w:val="100"/>
          <w:sz w:val="20"/>
          <w:szCs w:val="20"/>
          <w:lang w:val="ro-RO"/>
        </w:rPr>
        <w:t>unității</w:t>
      </w:r>
      <w:r>
        <w:rPr>
          <w:rFonts w:eastAsia="Arial" w:cs="Arial" w:ascii="Arial" w:hAnsi="Arial"/>
          <w:color w:val="auto"/>
          <w:spacing w:val="0"/>
          <w:w w:val="100"/>
          <w:sz w:val="20"/>
          <w:szCs w:val="20"/>
          <w:lang w:val="ro-RO"/>
        </w:rPr>
        <w:t xml:space="preserve"> din punctul de vedere al securității muncii, să mențină condițiile de lucru pentru care s-a obținut autorizație și să ceară revizuirea acesteia în cazul modificării condițiilor inițiale pentru care a fost emisă;</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stabilească măsurile tehnice și organizatorice de securitate a muncii, corespunzător condițiilor de muncă și factorilor de risc evaluați la locurile de muncă, pentru asigurarea securității și sănătății angajaților;</w:t>
      </w:r>
    </w:p>
    <w:p>
      <w:pPr>
        <w:pStyle w:val="Normal"/>
        <w:keepNext/>
        <w:widowControl/>
        <w:numPr>
          <w:ilvl w:val="0"/>
          <w:numId w:val="44"/>
        </w:numPr>
        <w:spacing w:before="0" w:after="12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s</w:t>
      </w:r>
      <w:r>
        <w:rPr>
          <w:rFonts w:eastAsia="Arial" w:cs="Arial" w:ascii="Arial" w:hAnsi="Arial"/>
          <w:bCs/>
          <w:color w:val="auto"/>
          <w:spacing w:val="0"/>
          <w:w w:val="100"/>
          <w:sz w:val="20"/>
          <w:szCs w:val="20"/>
          <w:lang w:val="ro-RO"/>
        </w:rPr>
        <w:t>ă asigure instruirea lucrătorilor în domeniul securității și sănătății în muncă. Aceasta este obligatorie pentru următoarele situații:</w:t>
      </w:r>
    </w:p>
    <w:p>
      <w:pPr>
        <w:pStyle w:val="Normal"/>
        <w:widowControl/>
        <w:numPr>
          <w:ilvl w:val="1"/>
          <w:numId w:val="37"/>
        </w:numPr>
        <w:spacing w:before="0" w:after="40"/>
        <w:ind w:left="1800" w:hanging="360"/>
        <w:jc w:val="left"/>
        <w:rPr>
          <w:rFonts w:ascii="Arial" w:hAnsi="Arial" w:cs="Arial"/>
          <w:bCs/>
          <w:sz w:val="20"/>
          <w:szCs w:val="20"/>
          <w:lang w:val="ro-RO"/>
        </w:rPr>
      </w:pPr>
      <w:r>
        <w:rPr>
          <w:rFonts w:eastAsia="Arial" w:cs="Arial" w:ascii="Arial" w:hAnsi="Arial"/>
          <w:bCs/>
          <w:color w:val="auto"/>
          <w:spacing w:val="0"/>
          <w:w w:val="100"/>
          <w:sz w:val="20"/>
          <w:szCs w:val="20"/>
          <w:lang w:val="ro-RO"/>
        </w:rPr>
        <w:t>lucrătorii nou angajați;</w:t>
      </w:r>
    </w:p>
    <w:p>
      <w:pPr>
        <w:pStyle w:val="Normal"/>
        <w:widowControl/>
        <w:numPr>
          <w:ilvl w:val="1"/>
          <w:numId w:val="37"/>
        </w:numPr>
        <w:spacing w:before="0" w:after="40"/>
        <w:ind w:left="1800" w:hanging="360"/>
        <w:jc w:val="left"/>
        <w:rPr>
          <w:rFonts w:ascii="Arial" w:hAnsi="Arial" w:cs="Arial"/>
          <w:bCs/>
          <w:sz w:val="20"/>
          <w:szCs w:val="20"/>
          <w:lang w:val="ro-RO"/>
        </w:rPr>
      </w:pPr>
      <w:r>
        <w:rPr>
          <w:rFonts w:eastAsia="Arial" w:cs="Arial" w:ascii="Arial" w:hAnsi="Arial"/>
          <w:bCs/>
          <w:color w:val="auto"/>
          <w:spacing w:val="0"/>
          <w:w w:val="100"/>
          <w:sz w:val="20"/>
          <w:szCs w:val="20"/>
          <w:lang w:val="ro-RO"/>
        </w:rPr>
        <w:t xml:space="preserve">lucrătorii care își schimbă locul de muncă sau felul muncii sau își reiau activitatea după o întrerupere mai mare de 6 luni;</w:t>
      </w:r>
    </w:p>
    <w:p>
      <w:pPr>
        <w:pStyle w:val="Normal"/>
        <w:widowControl/>
        <w:numPr>
          <w:ilvl w:val="1"/>
          <w:numId w:val="37"/>
        </w:numPr>
        <w:spacing w:before="0" w:after="40"/>
        <w:ind w:left="1800" w:hanging="360"/>
        <w:jc w:val="left"/>
        <w:rPr>
          <w:rFonts w:ascii="Arial" w:hAnsi="Arial" w:cs="Arial"/>
          <w:bCs/>
          <w:sz w:val="20"/>
          <w:szCs w:val="20"/>
          <w:lang w:val="ro-RO"/>
        </w:rPr>
      </w:pPr>
      <w:r>
        <w:rPr>
          <w:rFonts w:eastAsia="Arial" w:cs="Arial" w:ascii="Arial" w:hAnsi="Arial"/>
          <w:bCs/>
          <w:color w:val="auto"/>
          <w:spacing w:val="0"/>
          <w:w w:val="100"/>
          <w:sz w:val="20"/>
          <w:szCs w:val="20"/>
          <w:lang w:val="ro-RO"/>
        </w:rPr>
        <w:t>lucrători terți;</w:t>
      </w:r>
    </w:p>
    <w:p>
      <w:pPr>
        <w:pStyle w:val="Normal"/>
        <w:widowControl/>
        <w:numPr>
          <w:ilvl w:val="1"/>
          <w:numId w:val="37"/>
        </w:numPr>
        <w:spacing w:before="0" w:after="40"/>
        <w:ind w:left="1800" w:hanging="360"/>
        <w:jc w:val="left"/>
        <w:rPr>
          <w:rFonts w:ascii="Arial" w:hAnsi="Arial" w:cs="Arial"/>
          <w:bCs/>
          <w:sz w:val="20"/>
          <w:szCs w:val="20"/>
          <w:lang w:val="ro-RO"/>
        </w:rPr>
      </w:pPr>
      <w:r>
        <w:rPr>
          <w:rFonts w:eastAsia="Arial" w:cs="Arial" w:ascii="Arial" w:hAnsi="Arial"/>
          <w:bCs/>
          <w:color w:val="auto"/>
          <w:spacing w:val="0"/>
          <w:w w:val="100"/>
          <w:sz w:val="20"/>
          <w:szCs w:val="20"/>
          <w:lang w:val="ro-RO"/>
        </w:rPr>
        <w:t>studenți în practică.</w:t>
      </w:r>
    </w:p>
    <w:p>
      <w:pPr>
        <w:pStyle w:val="Normal"/>
        <w:widowControl/>
        <w:numPr>
          <w:ilvl w:val="0"/>
          <w:numId w:val="7"/>
        </w:numPr>
        <w:spacing w:before="0" w:after="40"/>
        <w:jc w:val="left"/>
        <w:rPr>
          <w:rFonts w:ascii="Arial" w:hAnsi="Arial" w:cs="Arial"/>
          <w:bCs/>
          <w:sz w:val="18"/>
          <w:szCs w:val="18"/>
          <w:lang w:val="ro-RO"/>
        </w:rPr>
      </w:pPr>
      <w:r>
        <w:rPr>
          <w:rFonts w:eastAsia="Arial" w:cs="Arial" w:ascii="Arial" w:hAnsi="Arial"/>
          <w:bCs/>
          <w:color w:val="auto"/>
          <w:spacing w:val="0"/>
          <w:w w:val="100"/>
          <w:sz w:val="20"/>
          <w:szCs w:val="20"/>
          <w:lang w:val="ro-RO"/>
        </w:rPr>
        <w:t>În toate aceste situații instruirea se realizează înainte de începerea efectivă a activității.</w:t>
      </w:r>
    </w:p>
    <w:p>
      <w:pPr>
        <w:pStyle w:val="Normal"/>
        <w:widowControl/>
        <w:numPr>
          <w:ilvl w:val="0"/>
          <w:numId w:val="7"/>
        </w:numPr>
        <w:spacing w:before="0" w:after="40"/>
        <w:jc w:val="left"/>
        <w:rPr>
          <w:rFonts w:ascii="Arial" w:hAnsi="Arial" w:cs="Arial"/>
          <w:bCs/>
          <w:sz w:val="18"/>
          <w:szCs w:val="18"/>
          <w:lang w:val="ro-RO"/>
        </w:rPr>
      </w:pPr>
      <w:r>
        <w:rPr>
          <w:rFonts w:eastAsia="Arial" w:cs="Arial" w:ascii="Arial" w:hAnsi="Arial"/>
          <w:bCs/>
          <w:color w:val="auto"/>
          <w:spacing w:val="0"/>
          <w:w w:val="100"/>
          <w:sz w:val="20"/>
          <w:szCs w:val="20"/>
          <w:lang w:val="ro-RO"/>
        </w:rPr>
        <w:t xml:space="preserve">Instruirea lucrătorilor este obligatorie și în situația în care intervin modificări ale legislației în domeniu, se introduce aparatura nouă în domeniul tehnicii de calcul sau alte domenii noi de activitate în cadrul </w:t>
      </w:r>
      <w:r>
        <w:rPr>
          <w:rFonts w:eastAsia="Arial" w:cs="Arial" w:ascii="Arial" w:hAnsi="Arial"/>
          <w:bCs/>
          <w:color w:val="auto"/>
          <w:spacing w:val="0"/>
          <w:w w:val="100"/>
          <w:sz w:val="20"/>
          <w:szCs w:val="20"/>
          <w:lang w:val="ro-RO"/>
        </w:rPr>
        <w:t>unității</w:t>
      </w:r>
      <w:r>
        <w:rPr>
          <w:rFonts w:eastAsia="Arial" w:cs="Arial" w:ascii="Arial" w:hAnsi="Arial"/>
          <w:color w:val="auto"/>
          <w:spacing w:val="0"/>
          <w:w w:val="100"/>
          <w:sz w:val="20"/>
          <w:szCs w:val="20"/>
          <w:lang w:val="ro-RO"/>
        </w:rPr>
        <w:t xml:space="preserve"> </w:t>
      </w:r>
      <w:r>
        <w:rPr>
          <w:rFonts w:eastAsia="Arial" w:cs="Arial" w:ascii="Arial" w:hAnsi="Arial"/>
          <w:bCs/>
          <w:color w:val="auto"/>
          <w:spacing w:val="0"/>
          <w:w w:val="100"/>
          <w:sz w:val="20"/>
          <w:szCs w:val="20"/>
          <w:lang w:val="ro-RO"/>
        </w:rPr>
        <w:t>sau se schimbă procesul tehnologic.</w:t>
      </w:r>
    </w:p>
    <w:p>
      <w:pPr>
        <w:pStyle w:val="Normal"/>
        <w:keepNext/>
        <w:widowControl/>
        <w:numPr>
          <w:ilvl w:val="0"/>
          <w:numId w:val="7"/>
        </w:numPr>
        <w:spacing w:before="0" w:after="40"/>
        <w:jc w:val="left"/>
        <w:rPr>
          <w:rFonts w:ascii="Arial" w:hAnsi="Arial" w:cs="Arial"/>
          <w:bCs/>
          <w:sz w:val="18"/>
          <w:szCs w:val="18"/>
          <w:lang w:val="ro-RO"/>
        </w:rPr>
      </w:pPr>
      <w:r>
        <w:rPr>
          <w:rFonts w:eastAsia="Arial" w:cs="Arial" w:ascii="Arial" w:hAnsi="Arial"/>
          <w:bCs/>
          <w:color w:val="auto"/>
          <w:spacing w:val="0"/>
          <w:w w:val="100"/>
          <w:sz w:val="20"/>
          <w:szCs w:val="20"/>
          <w:lang w:val="ro-RO"/>
        </w:rPr>
        <w:t xml:space="preserve">Astfel, angajatorul va trebui:</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stabilească în fișa postului atribuțiile și răspunderea angajaților în domeniul securității muncii, corespunzător funcțiilor exercitate;</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elaboreze instrucțiuni proprii de securitate a muncii, care să detalieze și să particularizeze normele specifice securității și sănătății muncii;</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și să controleze, prin personal propriu, cunoașterea și aplicarea de către toți angajații a măsurilor tehnice și organizatorice stabilite, precum și a prevederilor legale în domeniul securității muncii;</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pentru angajații cu contract de muncă pe durată determinată același nivel de protecție de care beneficiază ceilalți angajați ai unității;</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ia măsuri pentru asigurarea de materiale necesare informării și educării angajaților: afișe, filme, cărți, broșuri, pliante, acte normative, manuale, teste, fișe tehnice de securitate etc.;</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informarea fiecărei persoane, anterior angajării, asupra riscurilor la care aceasta va fi expusă, precum și asupra măsurilor tehnice și organizatorice de prevenire necesare;</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măsurile necesare pentru informarea angajatorilor din orice unitate exterioară, ai căror angajați lucrează în unitatea sa, referitor la riscurile pentru securitate și sănătate la care aceștia pot fi expuși, precum și măsurile de prevenire și protecție adoptate la nivel de unitate și loc de muncă, inclusiv cele referitoare la primul ajutor, prevenirea și stingerea incendiilor și evacuarea în caz de urgență;</w:t>
      </w:r>
    </w:p>
    <w:p>
      <w:pPr>
        <w:pStyle w:val="Normal"/>
        <w:widowControl/>
        <w:numPr>
          <w:ilvl w:val="0"/>
          <w:numId w:val="1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să angajeze numai persoane care, în urma controlului medical și al verificării aptitudinilor psihoprofesionale, corespund sarcinilor de muncă pe care urmează să le efectueze;</w:t>
      </w:r>
    </w:p>
    <w:p>
      <w:pPr>
        <w:pStyle w:val="Normal"/>
        <w:keepNext/>
        <w:widowControl/>
        <w:numPr>
          <w:ilvl w:val="0"/>
          <w:numId w:val="10"/>
        </w:numPr>
        <w:spacing w:before="0" w:after="120"/>
        <w:ind w:hanging="360" w:left="1080"/>
        <w:jc w:val="left"/>
        <w:rPr>
          <w:rFonts w:ascii="Arial" w:hAnsi="Arial" w:cs="Arial"/>
          <w:sz w:val="20"/>
          <w:szCs w:val="20"/>
          <w:lang w:val="ro-RO"/>
        </w:rPr>
      </w:pPr>
      <w:r>
        <w:rPr>
          <w:rFonts w:eastAsia="Arial" w:cs="Arial" w:ascii="Arial" w:hAnsi="Arial"/>
          <w:bCs/>
          <w:color w:val="auto"/>
          <w:spacing w:val="0"/>
          <w:w w:val="100"/>
          <w:sz w:val="20"/>
          <w:szCs w:val="20"/>
          <w:lang w:val="ro-RO"/>
        </w:rPr>
        <w:t xml:space="preserve">să asigure efectuarea și plata contravalorii:</w:t>
      </w:r>
    </w:p>
    <w:p>
      <w:pPr>
        <w:pStyle w:val="Normal"/>
        <w:widowControl/>
        <w:numPr>
          <w:ilvl w:val="1"/>
          <w:numId w:val="10"/>
        </w:numPr>
        <w:spacing w:before="0" w:after="40"/>
        <w:ind w:left="1800" w:hanging="360"/>
        <w:jc w:val="left"/>
        <w:rPr>
          <w:rFonts w:ascii="Arial" w:hAnsi="Arial" w:cs="Arial"/>
          <w:bCs/>
          <w:sz w:val="18"/>
          <w:szCs w:val="18"/>
          <w:lang w:val="ro-RO"/>
        </w:rPr>
      </w:pPr>
      <w:r>
        <w:rPr>
          <w:rFonts w:eastAsia="Arial" w:cs="Arial" w:ascii="Arial" w:hAnsi="Arial"/>
          <w:bCs/>
          <w:color w:val="auto"/>
          <w:spacing w:val="0"/>
          <w:w w:val="100"/>
          <w:sz w:val="20"/>
          <w:szCs w:val="20"/>
          <w:lang w:val="ro-RO"/>
        </w:rPr>
        <w:t>examenului medical la angajarea în muncă;</w:t>
      </w:r>
    </w:p>
    <w:p>
      <w:pPr>
        <w:pStyle w:val="Normal"/>
        <w:widowControl/>
        <w:numPr>
          <w:ilvl w:val="1"/>
          <w:numId w:val="10"/>
        </w:numPr>
        <w:spacing w:before="0" w:after="40"/>
        <w:ind w:left="1800" w:hanging="360"/>
        <w:jc w:val="left"/>
        <w:rPr>
          <w:rFonts w:ascii="Arial" w:hAnsi="Arial" w:cs="Arial"/>
          <w:bCs/>
          <w:sz w:val="18"/>
          <w:szCs w:val="18"/>
          <w:lang w:val="ro-RO"/>
        </w:rPr>
      </w:pPr>
      <w:r>
        <w:rPr>
          <w:rFonts w:eastAsia="Arial" w:cs="Arial" w:ascii="Arial" w:hAnsi="Arial"/>
          <w:bCs/>
          <w:color w:val="auto"/>
          <w:spacing w:val="0"/>
          <w:w w:val="100"/>
          <w:sz w:val="20"/>
          <w:szCs w:val="20"/>
          <w:lang w:val="ro-RO"/>
        </w:rPr>
        <w:t>controlului medical periodic;</w:t>
      </w:r>
    </w:p>
    <w:p>
      <w:pPr>
        <w:pStyle w:val="Normal"/>
        <w:keepNext/>
        <w:widowControl/>
        <w:numPr>
          <w:ilvl w:val="0"/>
          <w:numId w:val="7"/>
        </w:numPr>
        <w:spacing w:before="0" w:after="40"/>
        <w:jc w:val="left"/>
        <w:rPr>
          <w:rFonts w:ascii="Arial" w:hAnsi="Arial" w:cs="Arial"/>
          <w:bCs/>
          <w:sz w:val="18"/>
          <w:szCs w:val="18"/>
          <w:lang w:val="ro-RO"/>
        </w:rPr>
      </w:pPr>
      <w:r>
        <w:rPr>
          <w:rFonts w:eastAsia="Arial" w:cs="Arial" w:ascii="Arial" w:hAnsi="Arial"/>
          <w:bCs/>
          <w:color w:val="auto"/>
          <w:spacing w:val="0"/>
          <w:w w:val="100"/>
          <w:sz w:val="20"/>
          <w:szCs w:val="20"/>
          <w:lang w:val="ro-RO"/>
        </w:rPr>
        <w:t>Aceste examene și controale medicale se vor efectua potrivit reglementărilor legale. De asemenea, angajatorul va trebui:</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ia măsurile necesare informării compartimentului de securitate a muncii sau lucrătorului desemnat despre angajații care au relații de muncă cu durată determinată sau cu caracter interimar, pentru ca aceștia să fie incluși în programul de activitate care are ca scop asigurarea condițiilor de securitate și sănătate în muncă;</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se asigure că sunt consultați angajații și/ sau reprezentanții lor în problemele referitoare la măsurile și consecințele privind securitatea și sănătatea în muncă la introducerea de noi tehnologii, alegerea echipamentului tehnic, îmbunătățirea condițiilor și mediului de muncă, la desemnarea persoanelor cu atribuții privind primul ajutor, prevenirea și stingerea incendiilor, evacuarea angajaților, precum și la modul de desfășurare a activității de prevenire și protecție împotriva riscurilor profesionale, inclusiv a celei de instruire în domeniu;</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asigure, periodic sau ori de câte ori este cazul, verificarea încadrării nivelului noxelor în limitele admise, prin măsurători efectuate de către organismele abilitate (dacă este cazul);</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comunice, cerceteze, înregistreze, declare și să țină evidența accidentelor de muncă, a bolilor profesionale, a accidentelor tehnice și avariilor;</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să prezinte documentele și să dea relațiile solicitate de către inspectorii de muncă în timpul controlului sau cercetării accidentelor de muncă;</w:t>
      </w:r>
    </w:p>
    <w:p>
      <w:pPr>
        <w:pStyle w:val="Normal"/>
        <w:widowControl/>
        <w:numPr>
          <w:ilvl w:val="0"/>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să asigure realizarea măsurilor stabilite de inspectorii de muncă, cu ocazia controalelor și accidentelor de muncă;</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asigure echipamentul de lucru și protecție conform normativelor interne aprobate;</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anunțe imediat producerea de avarii tehnice, evenimente, accidente de muncă sau îmbolnăviri profesionale la inspectoratul teritorial de muncă și organele de urmărire penală competente, potrivit legii;</w:t>
      </w:r>
    </w:p>
    <w:p>
      <w:pPr>
        <w:pStyle w:val="Normal"/>
        <w:widowControl/>
        <w:numPr>
          <w:ilvl w:val="0"/>
          <w:numId w:val="40"/>
        </w:numPr>
        <w:spacing w:before="0" w:after="40"/>
        <w:ind w:hanging="360" w:left="108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w:t>
      </w:r>
      <w:r>
        <w:rPr>
          <w:rFonts w:eastAsia="Arial" w:cs="Arial" w:ascii="Arial" w:hAnsi="Arial"/>
          <w:bCs/>
          <w:color w:val="auto"/>
          <w:spacing w:val="0"/>
          <w:w w:val="100"/>
          <w:sz w:val="20"/>
          <w:szCs w:val="20"/>
          <w:lang w:val="ro-RO"/>
        </w:rPr>
        <w:t xml:space="preserve">în cazul în care temperaturile atmosferice sau cele din spațiul de lucru sunt ridicate și pot afecta sănătatea, în funcție de posibilități, aer condiționat sau ventilație. În perioadele cu temperaturi ridicate extreme (peste +37 °C), angajatorul va asigura apă minerală adecvată, câte 2 – 4 litri/ persoană/ schimb, iar în perioadele cu temperaturi scăzute extreme (sub -20 °C), salariaților care lucrează în aer liber, ceai fierbinte în cantitate de 0,5 – 1 litru/ persoană/ schimb (O.U.G. 99/2000 – art. 4 și 5)</w:t>
      </w:r>
      <w:r>
        <w:rPr>
          <w:rFonts w:eastAsia="Arial" w:cs="Arial" w:ascii="Arial" w:hAnsi="Arial"/>
          <w:bCs/>
          <w:color w:val="auto"/>
          <w:spacing w:val="0"/>
          <w:w w:val="100"/>
          <w:sz w:val="20"/>
          <w:szCs w:val="20"/>
          <w:lang w:val="ro-RO"/>
        </w:rPr>
        <w:t xml:space="preserve">;</w:t>
      </w:r>
    </w:p>
    <w:p>
      <w:pPr>
        <w:pStyle w:val="Normal"/>
        <w:widowControl/>
        <w:numPr>
          <w:ilvl w:val="0"/>
          <w:numId w:val="40"/>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 xml:space="preserve">să întocmească evidența nominală a angajaților cu handicap și a celor cu vârsta sub 18 ani;</w:t>
      </w:r>
    </w:p>
    <w:p>
      <w:pPr>
        <w:pStyle w:val="Normal"/>
        <w:widowControl/>
        <w:numPr>
          <w:ilvl w:val="0"/>
          <w:numId w:val="4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asigure securitatea și sănătatea în muncă a salariatelor gravide și/ sau mame, lăuze sau care alăptează, conform O.U.G. 96/2003 privind protecția maternității la locurile de muncă.</w:t>
      </w:r>
    </w:p>
    <w:p>
      <w:pPr>
        <w:pStyle w:val="Normal"/>
        <w:keepNext/>
        <w:widowControl/>
        <w:numPr>
          <w:ilvl w:val="0"/>
          <w:numId w:val="7"/>
        </w:numPr>
        <w:spacing w:before="0" w:after="40"/>
        <w:ind w:right="-96"/>
        <w:jc w:val="left"/>
        <w:rPr>
          <w:rFonts w:ascii="Arial" w:hAnsi="Arial" w:cs="Arial"/>
          <w:sz w:val="18"/>
          <w:szCs w:val="18"/>
          <w:lang w:val="it-IT"/>
        </w:rPr>
      </w:pPr>
      <w:r>
        <w:rPr>
          <w:rFonts w:eastAsia="Arial" w:cs="Arial" w:ascii="Arial" w:hAnsi="Arial"/>
          <w:bCs/>
          <w:color w:val="auto"/>
          <w:spacing w:val="0"/>
          <w:w w:val="100"/>
          <w:sz w:val="20"/>
          <w:szCs w:val="20"/>
          <w:lang w:val="ro-RO"/>
        </w:rPr>
        <w:t xml:space="preserve">Medicul de medicina</w:t>
      </w:r>
      <w:r>
        <w:rPr>
          <w:rFonts w:eastAsia="Arial" w:cs="Arial" w:ascii="Arial" w:hAnsi="Arial"/>
          <w:color w:val="auto"/>
          <w:spacing w:val="0"/>
          <w:w w:val="100"/>
          <w:sz w:val="20"/>
          <w:szCs w:val="20"/>
          <w:lang w:val="ro-RO"/>
        </w:rPr>
        <w:t xml:space="preserve"> muncii ce prestează aceste servicii pentru angajații </w:t>
      </w:r>
      <w:r>
        <w:rPr>
          <w:rFonts w:eastAsia="Arial" w:cs="Arial" w:ascii="Arial" w:hAnsi="Arial"/>
          <w:color w:val="auto"/>
          <w:spacing w:val="0"/>
          <w:w w:val="100"/>
          <w:sz w:val="20"/>
          <w:szCs w:val="20"/>
          <w:lang w:val="ro-RO"/>
        </w:rPr>
        <w:t>unității</w:t>
      </w:r>
      <w:r>
        <w:rPr>
          <w:rFonts w:eastAsia="Arial" w:cs="Arial" w:ascii="Arial" w:hAnsi="Arial"/>
          <w:color w:val="auto"/>
          <w:spacing w:val="0"/>
          <w:w w:val="100"/>
          <w:sz w:val="20"/>
          <w:szCs w:val="20"/>
          <w:lang w:val="ro-RO"/>
        </w:rPr>
        <w:t xml:space="preserve"> are următoarele atribuții profesionale:</w:t>
      </w:r>
    </w:p>
    <w:p>
      <w:pPr>
        <w:pStyle w:val="Normal"/>
        <w:widowControl/>
        <w:numPr>
          <w:ilvl w:val="0"/>
          <w:numId w:val="30"/>
        </w:numPr>
        <w:spacing w:before="0" w:after="40"/>
        <w:ind w:hanging="360" w:left="1080" w:right="-96"/>
        <w:jc w:val="left"/>
        <w:rPr>
          <w:rFonts w:ascii="Arial" w:hAnsi="Arial" w:cs="Arial"/>
          <w:sz w:val="20"/>
          <w:szCs w:val="20"/>
          <w:lang w:val="fr-FR"/>
        </w:rPr>
      </w:pPr>
      <w:r>
        <w:rPr>
          <w:rFonts w:eastAsia="Arial" w:cs="Arial" w:ascii="Arial" w:hAnsi="Arial"/>
          <w:color w:val="auto"/>
          <w:spacing w:val="0"/>
          <w:w w:val="100"/>
          <w:sz w:val="20"/>
          <w:szCs w:val="20"/>
          <w:lang w:val="ro-RO"/>
        </w:rPr>
        <w:t xml:space="preserve">să participe la evaluarea riscurilor privind îmbolnăvirile;</w:t>
      </w:r>
    </w:p>
    <w:p>
      <w:pPr>
        <w:pStyle w:val="Normal"/>
        <w:keepNext/>
        <w:widowControl/>
        <w:numPr>
          <w:ilvl w:val="0"/>
          <w:numId w:val="30"/>
        </w:numPr>
        <w:spacing w:before="0" w:after="12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să monitorizeze starea de sănătate a angajaților prin:</w:t>
      </w:r>
    </w:p>
    <w:p>
      <w:pPr>
        <w:pStyle w:val="Normal"/>
        <w:widowControl/>
        <w:numPr>
          <w:ilvl w:val="1"/>
          <w:numId w:val="30"/>
        </w:numPr>
        <w:spacing w:before="0" w:after="40"/>
        <w:ind w:left="1800" w:hanging="360"/>
        <w:jc w:val="left"/>
        <w:rPr>
          <w:rFonts w:ascii="Arial" w:hAnsi="Arial" w:cs="Arial"/>
          <w:sz w:val="18"/>
          <w:szCs w:val="18"/>
          <w:lang w:val="es-ES"/>
        </w:rPr>
      </w:pPr>
      <w:r>
        <w:rPr>
          <w:rFonts w:eastAsia="Arial" w:cs="Arial" w:ascii="Arial" w:hAnsi="Arial"/>
          <w:color w:val="auto"/>
          <w:spacing w:val="0"/>
          <w:w w:val="100"/>
          <w:sz w:val="20"/>
          <w:szCs w:val="20"/>
          <w:lang w:val="ro-RO"/>
        </w:rPr>
        <w:t>examene medicale la angajarea în muncă;</w:t>
      </w:r>
    </w:p>
    <w:p>
      <w:pPr>
        <w:pStyle w:val="Normal"/>
        <w:widowControl/>
        <w:numPr>
          <w:ilvl w:val="1"/>
          <w:numId w:val="30"/>
        </w:numPr>
        <w:spacing w:before="0" w:after="40"/>
        <w:ind w:left="1800" w:hanging="360"/>
        <w:jc w:val="left"/>
        <w:rPr>
          <w:rFonts w:ascii="Arial" w:hAnsi="Arial" w:cs="Arial"/>
          <w:sz w:val="18"/>
          <w:szCs w:val="18"/>
          <w:lang w:val="es-ES"/>
        </w:rPr>
      </w:pPr>
      <w:r>
        <w:rPr>
          <w:rFonts w:eastAsia="Arial" w:cs="Arial" w:ascii="Arial" w:hAnsi="Arial"/>
          <w:color w:val="auto"/>
          <w:spacing w:val="0"/>
          <w:w w:val="100"/>
          <w:sz w:val="20"/>
          <w:szCs w:val="20"/>
          <w:lang w:val="ro-RO"/>
        </w:rPr>
        <w:t>examen medical de adaptare;</w:t>
      </w:r>
    </w:p>
    <w:p>
      <w:pPr>
        <w:pStyle w:val="Normal"/>
        <w:widowControl/>
        <w:numPr>
          <w:ilvl w:val="1"/>
          <w:numId w:val="30"/>
        </w:numPr>
        <w:spacing w:before="0" w:after="40"/>
        <w:ind w:left="1800" w:hanging="360"/>
        <w:jc w:val="left"/>
        <w:rPr>
          <w:rFonts w:ascii="Arial" w:hAnsi="Arial" w:cs="Arial"/>
          <w:sz w:val="18"/>
          <w:szCs w:val="18"/>
          <w:lang w:val="es-ES"/>
        </w:rPr>
      </w:pPr>
      <w:r>
        <w:rPr>
          <w:rFonts w:eastAsia="Arial" w:cs="Arial" w:ascii="Arial" w:hAnsi="Arial"/>
          <w:color w:val="auto"/>
          <w:spacing w:val="0"/>
          <w:w w:val="100"/>
          <w:sz w:val="20"/>
          <w:szCs w:val="20"/>
          <w:lang w:val="ro-RO"/>
        </w:rPr>
        <w:t>control medical periodic;</w:t>
      </w:r>
    </w:p>
    <w:p>
      <w:pPr>
        <w:pStyle w:val="Normal"/>
        <w:widowControl/>
        <w:numPr>
          <w:ilvl w:val="1"/>
          <w:numId w:val="30"/>
        </w:numPr>
        <w:spacing w:before="0" w:after="40"/>
        <w:ind w:left="1800" w:hanging="360"/>
        <w:jc w:val="left"/>
        <w:rPr>
          <w:rFonts w:ascii="Arial" w:hAnsi="Arial" w:cs="Arial"/>
          <w:sz w:val="18"/>
          <w:szCs w:val="18"/>
          <w:lang w:val="es-ES"/>
        </w:rPr>
      </w:pPr>
      <w:r>
        <w:rPr>
          <w:rFonts w:eastAsia="Arial" w:cs="Arial" w:ascii="Arial" w:hAnsi="Arial"/>
          <w:color w:val="auto"/>
          <w:spacing w:val="0"/>
          <w:w w:val="100"/>
          <w:sz w:val="20"/>
          <w:szCs w:val="20"/>
          <w:lang w:val="ro-RO"/>
        </w:rPr>
        <w:t>examen medical la reluarea activității;</w:t>
      </w:r>
    </w:p>
    <w:p>
      <w:pPr>
        <w:pStyle w:val="Normal"/>
        <w:widowControl/>
        <w:numPr>
          <w:ilvl w:val="0"/>
          <w:numId w:val="3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să îndrume activitatea de reabilitare profesională, reconversia profesională, reorientarea profesională în caz de accident de muncă, boală profesională, boală legată de profesie sau după afecțiuni cronice;</w:t>
      </w:r>
    </w:p>
    <w:p>
      <w:pPr>
        <w:pStyle w:val="Normal"/>
        <w:widowControl/>
        <w:numPr>
          <w:ilvl w:val="0"/>
          <w:numId w:val="3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să comunice existența riscului de îmbolnăvire profesională către toți factorii implicați în procesul muncii;</w:t>
      </w:r>
    </w:p>
    <w:p>
      <w:pPr>
        <w:pStyle w:val="Normal"/>
        <w:widowControl/>
        <w:numPr>
          <w:ilvl w:val="0"/>
          <w:numId w:val="3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să consilieze angajatorul privind adaptarea muncii și a locului de muncă la caracteristicile psihofiziologice ale angajaților;</w:t>
      </w:r>
    </w:p>
    <w:p>
      <w:pPr>
        <w:pStyle w:val="Normal"/>
        <w:widowControl/>
        <w:numPr>
          <w:ilvl w:val="0"/>
          <w:numId w:val="3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să consilieze angajatorul pentru fundamentarea strategiei de securitate și sănătate la locul de muncă;</w:t>
      </w:r>
    </w:p>
    <w:p>
      <w:pPr>
        <w:pStyle w:val="Normal"/>
        <w:widowControl/>
        <w:numPr>
          <w:ilvl w:val="0"/>
          <w:numId w:val="3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să participe la sistemul informațional național privind accidentele de muncă și bolile profesionale.</w:t>
      </w:r>
    </w:p>
    <w:p>
      <w:pPr>
        <w:pStyle w:val="Normal"/>
        <w:keepNext/>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Pentru asigurarea atribuțiilor ce revin structurilor medicale de medicina muncii, angajatorul va lua următoarele măsuri:</w:t>
      </w:r>
    </w:p>
    <w:p>
      <w:pPr>
        <w:pStyle w:val="Normal"/>
        <w:widowControl/>
        <w:numPr>
          <w:ilvl w:val="0"/>
          <w:numId w:val="48"/>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angajarea lucrătorilor numai după un examen medical prealabil, cu confirmarea scrisă a medicului de medicina muncii că locul de muncă sau meseria propusă nu este contraindicată din punct de vedere medical viitorului angajat;</w:t>
      </w:r>
    </w:p>
    <w:p>
      <w:pPr>
        <w:pStyle w:val="Normal"/>
        <w:widowControl/>
        <w:numPr>
          <w:ilvl w:val="0"/>
          <w:numId w:val="48"/>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programarea, cu acordul personalului medical, a controlului medical periodic al lucrătorilor, potrivit reglementărilor tehnice ale Ministerului Sănătății Publice, și urmărirea efectuării integrale a acestuia;</w:t>
      </w:r>
    </w:p>
    <w:p>
      <w:pPr>
        <w:pStyle w:val="Normal"/>
        <w:widowControl/>
        <w:numPr>
          <w:ilvl w:val="0"/>
          <w:numId w:val="48"/>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respectarea recomandărilor medicale rezultate în urma examenelor la angajare, a controalelor medicale de adaptare și periodice și a examenului medical la reluarea activității.</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Angajatorii nu au dreptul să intervină prin niciun mijloc în influențarea activității medicale, a conținutului acesteia, a concluziilor și măsurilor medicale stabilite.</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Medicul de medicină a muncii ce prestează servicii pentru angajații </w:t>
      </w:r>
      <w:r>
        <w:rPr>
          <w:rFonts w:eastAsia="Arial" w:cs="Arial" w:ascii="Arial" w:hAnsi="Arial"/>
          <w:color w:val="auto"/>
          <w:spacing w:val="0"/>
          <w:w w:val="100"/>
          <w:sz w:val="20"/>
          <w:szCs w:val="20"/>
          <w:lang w:val="ro-RO"/>
        </w:rPr>
        <w:t>unității</w:t>
      </w:r>
      <w:r>
        <w:rPr>
          <w:rFonts w:eastAsia="Arial" w:cs="Arial" w:ascii="Arial" w:hAnsi="Arial"/>
          <w:color w:val="auto"/>
          <w:spacing w:val="0"/>
          <w:w w:val="100"/>
          <w:sz w:val="20"/>
          <w:szCs w:val="20"/>
          <w:lang w:val="ro-RO"/>
        </w:rPr>
        <w:t xml:space="preserve"> organizează primul ajutor și tratamentul de urgență și instruiește lucrătorii cu privire la aplicarea metodelor accesibile lor de prim ajutor și a procedurilor de urgență în cazul accidentelor de muncă.</w:t>
      </w:r>
    </w:p>
    <w:p>
      <w:pPr>
        <w:pStyle w:val="Normal"/>
        <w:keepNext/>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Angajatorul va cere medicului de medicină a muncii să evalueze aptitudinea pentru muncă în relație cu starea de sănătate și să propună adaptarea muncii la posibilitățile lucrătorilor, asigurând:</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evaluarea handicapului în relație cu munca;</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managementul clinic în procesul de recuperare a capacității de muncă;</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aplicarea principiilor ergonomiei în procesul de reabilitare;</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colaborarea cu specialistul în psihologia muncii în vederea reabilitării angajaților cu probleme de sănătate mentală datorate unor factori aferenți procesului muncii și relațiilor interumane de la locul de muncă;</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măsurile adecvate privind sănătatea și securitatea în muncă a angajaților cu probleme speciale legate de utilizarea de droguri și consumul de alcool;</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consilierea în probleme de reabilitare și reangajare;</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consilierea cu privire la menținerea în muncă a angajaților vârstnici și a celor cu dizabilități;</w:t>
      </w:r>
    </w:p>
    <w:p>
      <w:pPr>
        <w:pStyle w:val="Normal"/>
        <w:widowControl/>
        <w:numPr>
          <w:ilvl w:val="2"/>
          <w:numId w:val="4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promovarea capacității de muncă, a sănătății, îndemânării și antrenamentului în relație cu cerințele muncii.</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Medicul de medicină a muncii consiliază angajatorul asupra unei bune adaptări a muncii la posibilitățile angajatului în circumstanțele speciale ale unor grupuri vulnerabile: femei gravide, mame în perioada de alăptare, adolescenți, vârstnici și persoane cu handicap.</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Medicul de medicina muncii și medicul cu competență de medicină a muncii sunt obligați să prezinte comitetului de securitate și sănătate în muncă rapoarte scrise cu privire la situația stării de sănătate a angajaților în relație cu condițiile de muncă și riscurile profesionale, la acțiunile medicale întreprinse și eficiența acestora.</w:t>
      </w:r>
    </w:p>
    <w:p>
      <w:pPr>
        <w:pStyle w:val="normal1"/>
        <w:keepNext/>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Înregistrările medicale vor fi păstrate o perioadă cel puțin egală cu durata medie de expunere-afectare a sănătății pentru fiecare categorie de risc profesional, astfel:</w:t>
      </w:r>
    </w:p>
    <w:p>
      <w:pPr>
        <w:pStyle w:val="normal1"/>
        <w:widowControl/>
        <w:numPr>
          <w:ilvl w:val="0"/>
          <w:numId w:val="47"/>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serviciul de medicina muncii va păstra dosarul medical individual;</w:t>
      </w:r>
    </w:p>
    <w:p>
      <w:pPr>
        <w:pStyle w:val="normal1"/>
        <w:widowControl/>
        <w:numPr>
          <w:ilvl w:val="0"/>
          <w:numId w:val="47"/>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angajatorul va păstra sinteza examinărilor medicale;</w:t>
      </w:r>
    </w:p>
    <w:p>
      <w:pPr>
        <w:pStyle w:val="normal1"/>
        <w:widowControl/>
        <w:numPr>
          <w:ilvl w:val="0"/>
          <w:numId w:val="47"/>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angajatul va păstra concluzia examinării medicale.</w:t>
      </w:r>
    </w:p>
    <w:p>
      <w:pPr>
        <w:pStyle w:val="Normal"/>
        <w:keepNext/>
        <w:widowControl/>
        <w:numPr>
          <w:ilvl w:val="0"/>
          <w:numId w:val="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vederea respectării cerințelor privind asigurarea serviciului medical de medicină a muncii, lucrătorii care lucrează în cadrul unității sunt obligați să efectueze un examen medical periodic ce are ca scop:</w:t>
      </w:r>
    </w:p>
    <w:p>
      <w:pPr>
        <w:pStyle w:val="Normal"/>
        <w:widowControl/>
        <w:numPr>
          <w:ilvl w:val="0"/>
          <w:numId w:val="3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confirmarea sau infirmarea aptitudinii în muncă pentru profesia/ funcția și locul de muncă pentru care s-a făcut angajarea;</w:t>
      </w:r>
    </w:p>
    <w:p>
      <w:pPr>
        <w:pStyle w:val="Normal"/>
        <w:widowControl/>
        <w:numPr>
          <w:ilvl w:val="0"/>
          <w:numId w:val="3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diagnosticarea bolilor profesionale;</w:t>
      </w:r>
    </w:p>
    <w:p>
      <w:pPr>
        <w:pStyle w:val="Normal"/>
        <w:widowControl/>
        <w:numPr>
          <w:ilvl w:val="0"/>
          <w:numId w:val="3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diagnosticarea bolilor legate de profesie;</w:t>
      </w:r>
    </w:p>
    <w:p>
      <w:pPr>
        <w:pStyle w:val="Normal"/>
        <w:widowControl/>
        <w:numPr>
          <w:ilvl w:val="0"/>
          <w:numId w:val="3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depistarea bolilor care ar constitui risc pentru viața și sănătatea celorlalți angajați la același loc de muncă;</w:t>
      </w:r>
    </w:p>
    <w:p>
      <w:pPr>
        <w:pStyle w:val="Normal"/>
        <w:widowControl/>
        <w:numPr>
          <w:ilvl w:val="0"/>
          <w:numId w:val="3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depistarea bolilor care ar constitui risc pentru securitatea unității, pentru calitatea produselor sau pentru populația cu care angajatul vine în contact prin natura activității sale.</w:t>
      </w:r>
    </w:p>
    <w:p>
      <w:pPr>
        <w:pStyle w:val="Normal"/>
        <w:widowControl/>
        <w:numPr>
          <w:ilvl w:val="0"/>
          <w:numId w:val="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Pregătirea și instruirea în domeniul securității și sănătății muncii și situațiilor de urgență are ca scop însușirea cunoștințelor și formarea deprinderilor de securitate și sănătate în muncă și situațiilor de urgență.</w:t>
      </w:r>
    </w:p>
    <w:p>
      <w:pPr>
        <w:pStyle w:val="Normal"/>
        <w:keepNext/>
        <w:widowControl/>
        <w:numPr>
          <w:ilvl w:val="0"/>
          <w:numId w:val="7"/>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Instruirea privind sănătatea și securitatea muncii și situațiilor de urgență cuprinde 3 faze:</w:t>
      </w:r>
    </w:p>
    <w:p>
      <w:pPr>
        <w:pStyle w:val="Normal"/>
        <w:widowControl/>
        <w:numPr>
          <w:ilvl w:val="0"/>
          <w:numId w:val="18"/>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instruirea introductiv-generală;</w:t>
      </w:r>
    </w:p>
    <w:p>
      <w:pPr>
        <w:pStyle w:val="Normal"/>
        <w:widowControl/>
        <w:numPr>
          <w:ilvl w:val="0"/>
          <w:numId w:val="18"/>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instruirea la locul de muncă;</w:t>
      </w:r>
    </w:p>
    <w:p>
      <w:pPr>
        <w:pStyle w:val="Normal"/>
        <w:widowControl/>
        <w:numPr>
          <w:ilvl w:val="0"/>
          <w:numId w:val="18"/>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instruirea periodică.</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Instruirea introductiv-generală se efectuează de către persoane cu pregătire în domeniul securității și sănătății în muncă (lucrătorul desemnat, serviciul intern sau serviciul extern de prevenire și protecție); instruirea la locul de muncă și instruirea periodică se efectuează de către conducătorul locului de muncă sau de către serviciul extern de prevenire și protecție, potrivit deciziei de instruire.</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Instruirea introductiv-generală se face tuturor lucrătorilor care au raporturi de muncă cu unitatea fie prin angajare, fie prin detașare de la altă societate, la intrarea în unitate.</w:t>
      </w:r>
    </w:p>
    <w:p>
      <w:pPr>
        <w:pStyle w:val="Normal"/>
        <w:keepNext/>
        <w:widowControl/>
        <w:numPr>
          <w:ilvl w:val="0"/>
          <w:numId w:val="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Durata instruirii introductiv-generale este stabilită prin decizia privind instruirea și prin planificarea internă; în cadrul acestei instruiri se prezintă:</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riscurile de accidentare și îmbolnăvire profesională specifice unității;</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legislația de sănătate și securitate în muncă în vigoare;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consecințele posibile ale necunoașterii și nerespectării legislației de protecție a muncii;</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măsuri tehnico-organizatorice de prevenire, alarmare, intervenție, evacuare și prim ajutor;</w:t>
      </w:r>
    </w:p>
    <w:p>
      <w:pPr>
        <w:pStyle w:val="Normal"/>
        <w:widowControl/>
        <w:numPr>
          <w:ilvl w:val="0"/>
          <w:numId w:val="45"/>
        </w:numPr>
        <w:spacing w:before="0" w:after="40"/>
        <w:ind w:hanging="360" w:left="1080"/>
        <w:jc w:val="left"/>
        <w:rPr>
          <w:rFonts w:ascii="Arial" w:hAnsi="Arial" w:cs="Arial"/>
          <w:sz w:val="20"/>
          <w:szCs w:val="20"/>
        </w:rPr>
      </w:pPr>
      <w:r>
        <w:rPr>
          <w:rFonts w:eastAsia="Arial" w:cs="Arial" w:ascii="Arial" w:hAnsi="Arial"/>
          <w:color w:val="auto"/>
          <w:spacing w:val="0"/>
          <w:w w:val="100"/>
          <w:sz w:val="20"/>
          <w:szCs w:val="20"/>
          <w:lang w:val="ro-RO"/>
        </w:rPr>
        <w:t xml:space="preserve">instrucțiunile proprii la nivelul unității;</w:t>
      </w:r>
    </w:p>
    <w:p>
      <w:pPr>
        <w:pStyle w:val="Normal"/>
        <w:widowControl/>
        <w:numPr>
          <w:ilvl w:val="0"/>
          <w:numId w:val="45"/>
        </w:numPr>
        <w:spacing w:before="0" w:after="40"/>
        <w:ind w:hanging="360" w:left="1080"/>
        <w:jc w:val="left"/>
        <w:rPr>
          <w:rFonts w:ascii="Arial" w:hAnsi="Arial" w:cs="Arial"/>
          <w:sz w:val="20"/>
          <w:szCs w:val="20"/>
        </w:rPr>
      </w:pPr>
      <w:r>
        <w:rPr>
          <w:rFonts w:eastAsia="Arial" w:cs="Arial" w:ascii="Arial" w:hAnsi="Arial"/>
          <w:color w:val="auto"/>
          <w:spacing w:val="0"/>
          <w:w w:val="100"/>
          <w:sz w:val="20"/>
          <w:szCs w:val="20"/>
          <w:lang w:val="ro-RO"/>
        </w:rPr>
        <w:t>regulamentul intern;</w:t>
      </w:r>
    </w:p>
    <w:p>
      <w:pPr>
        <w:pStyle w:val="Normal"/>
        <w:widowControl/>
        <w:numPr>
          <w:ilvl w:val="0"/>
          <w:numId w:val="45"/>
        </w:numPr>
        <w:spacing w:before="0" w:after="40"/>
        <w:ind w:hanging="360" w:left="1080"/>
        <w:jc w:val="left"/>
        <w:rPr>
          <w:rFonts w:ascii="Arial" w:hAnsi="Arial" w:cs="Arial"/>
          <w:sz w:val="20"/>
          <w:szCs w:val="20"/>
        </w:rPr>
      </w:pPr>
      <w:r>
        <w:rPr>
          <w:rFonts w:eastAsia="Arial" w:cs="Arial" w:ascii="Arial" w:hAnsi="Arial"/>
          <w:color w:val="auto"/>
          <w:spacing w:val="0"/>
          <w:w w:val="100"/>
          <w:sz w:val="20"/>
          <w:szCs w:val="20"/>
          <w:lang w:val="ro-RO"/>
        </w:rPr>
        <w:t>contractul colectiv de muncă.</w:t>
      </w:r>
    </w:p>
    <w:p>
      <w:pPr>
        <w:pStyle w:val="Normal"/>
        <w:widowControl/>
        <w:numPr>
          <w:ilvl w:val="0"/>
          <w:numId w:val="7"/>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Instruirea periodică se face tuturor lucrătorilor angajați sau detașați.</w:t>
      </w:r>
    </w:p>
    <w:p>
      <w:pPr>
        <w:pStyle w:val="Normal"/>
        <w:widowControl/>
        <w:numPr>
          <w:ilvl w:val="0"/>
          <w:numId w:val="7"/>
        </w:numPr>
        <w:spacing w:before="0" w:after="40"/>
        <w:jc w:val="left"/>
        <w:rPr>
          <w:rFonts w:ascii="Arial" w:hAnsi="Arial" w:cs="Arial"/>
          <w:sz w:val="18"/>
          <w:szCs w:val="18"/>
          <w:lang w:val="pt-BR"/>
        </w:rPr>
      </w:pPr>
      <w:r>
        <w:rPr>
          <w:rFonts w:ascii="Arial" w:hAnsi="Arial" w:cs="Arial" w:eastAsia="Arial"/>
          <w:color w:val="auto"/>
          <w:sz w:val="20"/>
          <w:szCs w:val="20"/>
          <w:lang w:val="ro-RO"/>
        </w:rPr>
        <w:t xml:space="preserve">Instruirea periodică durează {{training.periodicDuration}} și are periodicitatea stabilită prin programul de instruire-testare și prin instrucțiunile proprii ale unității.</w:t>
      </w:r>
    </w:p>
    <w:p>
      <w:pPr>
        <w:pStyle w:val="Normal"/>
        <w:widowControl/>
        <w:numPr>
          <w:ilvl w:val="0"/>
          <w:numId w:val="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Prezentul capitol se completează cu prevederile Legii 319/2006 și H.G. 1425/2006.</w:t>
      </w:r>
    </w:p>
    <w:p>
      <w:pPr>
        <w:pStyle w:val="Normal"/>
        <w:widowControl/>
        <w:numPr>
          <w:ilvl w:val="0"/>
          <w:numId w:val="7"/>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Unitatea</w:t>
      </w:r>
      <w:r>
        <w:rPr>
          <w:rFonts w:eastAsia="Arial" w:cs="Arial" w:ascii="Arial" w:hAnsi="Arial"/>
          <w:color w:val="auto"/>
          <w:spacing w:val="0"/>
          <w:w w:val="100"/>
          <w:sz w:val="20"/>
          <w:szCs w:val="20"/>
          <w:lang w:val="ro-RO"/>
        </w:rPr>
        <w:t xml:space="preserve"> are obligația de întocmire și actualizare a documentelor de organizare a activității de apărare împotriva incendiilor conform Legii 307/2006.</w:t>
      </w:r>
    </w:p>
    <w:p>
      <w:pPr>
        <w:pStyle w:val="Normal"/>
        <w:widowControl/>
        <w:numPr>
          <w:ilvl w:val="0"/>
          <w:numId w:val="7"/>
        </w:numPr>
        <w:spacing w:before="0" w:after="40"/>
        <w:jc w:val="left"/>
        <w:rPr>
          <w:rFonts w:ascii="Arial" w:hAnsi="Arial" w:cs="Arial"/>
          <w:sz w:val="18"/>
          <w:szCs w:val="18"/>
          <w:lang w:val="ro-RO"/>
        </w:rPr>
      </w:pPr>
      <w:r>
        <w:rPr>
          <w:rFonts w:ascii="Arial" w:hAnsi="Arial" w:cs="Arial" w:eastAsia="Arial"/>
          <w:color w:val="auto"/>
          <w:sz w:val="20"/>
          <w:szCs w:val="20"/>
          <w:lang w:val="ro-RO"/>
        </w:rPr>
        <w:t xml:space="preserve">Angajatorul sau persoana desemnată de acesta are obligația de a întocmi tematicile anuale de instruire și de a efectua instructajele lucrătorilor în domeniul situațiilor de urgență, potrivit Dispozițiilor generale privind instruirea salariaților în domeniul situațiilor de urgență, aprobate prin OMAI 712/2005.</w:t>
      </w:r>
    </w:p>
    <w:p>
      <w:pPr>
        <w:pStyle w:val="Normal"/>
        <w:widowControl/>
        <w:numPr>
          <w:ilvl w:val="0"/>
          <w:numId w:val="7"/>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Întocmirea listei cu substanțele periculoase clasificate astfel conform legii.</w:t>
      </w:r>
    </w:p>
    <w:p>
      <w:pPr>
        <w:pStyle w:val="BodyText2"/>
        <w:widowControl/>
        <w:numPr>
          <w:ilvl w:val="0"/>
          <w:numId w:val="7"/>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 xml:space="preserve">Întocmirea/ actualizarea planului de intervenție în caz de incendiu conform legislației actuale.</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Asigurarea inscripționării cu indicatoare de avertizare a locurilor periculoase și surselor de alimentare cu apă, locului pentru fumat, căilor de evacuare etc.</w:t>
      </w:r>
    </w:p>
    <w:p>
      <w:pPr>
        <w:pStyle w:val="BodyText"/>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Asigurarea mijloacelor tehnice, echipamentelor de protecție, substanțelor chimice de stingere care sunt specifice riscurilor care decurg din existența și funcționarea unității, precum și a medicamentelor și antidotului necesare acordării primului ajutor, conform art. 19 alin. (1), lit. o) din Legea 307/2006.</w:t>
      </w:r>
    </w:p>
    <w:p>
      <w:pPr>
        <w:pStyle w:val="Normal"/>
        <w:widowControl/>
        <w:numPr>
          <w:ilvl w:val="0"/>
          <w:numId w:val="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Prelucrarea actelor normative noi apărute care reglementează activitatea de apărare împotriva incendiilor, a Legii 307/2006 și a altor acte normative subsecvente acesteia.</w:t>
      </w:r>
    </w:p>
    <w:p>
      <w:pPr>
        <w:pStyle w:val="Normal"/>
        <w:keepNext/>
        <w:widowControl/>
        <w:numPr>
          <w:ilvl w:val="0"/>
          <w:numId w:val="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Obligațiile și drepturile lucrătorilor privind securitatea și sănătatea în muncă:</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să-și însușească și să respecte normele și instrucțiunile de securitate a muncii și măsurile de aplicare a acestora;</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să utilizeze corect echipamentele tehnice și celelalte mijloace și echipamente;</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aducă la cunoștința conducătorului locului de muncă orice defecțiune sau altă situație care constituie un pericol de accidentare sau îmbolnăvire profesională;</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oprească lucrul la apariția unui pericol iminent de producere a unui accident și să informeze imediat conducătorul locului de muncă;</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să refuze întemeiat executarea unei sarcini de muncă dacă aceasta ar pune în pericol de accidentare sau îmbolnăvire profesională persoana sa sau a celorlalți participanți în procesul de producție;</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să utilizeze echipamentul individual de protecție din dotare, corespunzător scopului pentru care a fost acordat;</w:t>
      </w:r>
    </w:p>
    <w:p>
      <w:pPr>
        <w:pStyle w:val="Normal"/>
        <w:widowControl/>
        <w:numPr>
          <w:ilvl w:val="0"/>
          <w:numId w:val="3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au dreptul să ceară angajatorului să ia măsurile cele mai potrivite și să prezinte acestuia propunerile lor de măsuri pentru eliminarea sau reducerea riscurilor de accidente și îmbolnăvire profesională.</w:t>
      </w:r>
    </w:p>
    <w:p>
      <w:pPr>
        <w:pStyle w:val="Normal"/>
        <w:widowControl/>
        <w:numPr>
          <w:ilvl w:val="0"/>
          <w:numId w:val="7"/>
        </w:numPr>
        <w:spacing w:before="0" w:after="40"/>
        <w:jc w:val="left"/>
        <w:rPr>
          <w:rFonts w:ascii="Arial" w:hAnsi="Arial" w:cs="Arial"/>
          <w:sz w:val="18"/>
          <w:szCs w:val="18"/>
          <w:lang w:val="it-IT"/>
        </w:rPr>
      </w:pPr>
      <w:r>
        <w:rPr>
          <w:rStyle w:val="tpa1"/>
          <w:rFonts w:eastAsia="Arial" w:cs="Arial" w:ascii="Arial" w:hAnsi="Arial"/>
          <w:color w:val="auto"/>
          <w:spacing w:val="0"/>
          <w:w w:val="100"/>
          <w:sz w:val="20"/>
          <w:szCs w:val="20"/>
          <w:lang w:val="ro-RO"/>
        </w:rPr>
        <w:t xml:space="preserve">Reprezentantul lucrătorilor cu răspunderi specifice în domeniul securității și sănătății în muncă este </w:t>
      </w:r>
      <w:r>
        <w:rPr>
          <w:rFonts w:eastAsia="Arial" w:cs="Arial" w:ascii="Arial" w:hAnsi="Arial"/>
          <w:color w:val="auto"/>
          <w:spacing w:val="0"/>
          <w:w w:val="100"/>
          <w:sz w:val="20"/>
          <w:szCs w:val="20"/>
          <w:lang w:val="ro-RO"/>
        </w:rPr>
        <w:t>persoana aleasă, selectată sau desemnată de lucrători, în conformitate cu prevederile legale, să îi reprezinte pe aceștia în ceea ce privește problemele referitoare la protecția securității și sănătății lucrătorilor în muncă.</w:t>
      </w:r>
    </w:p>
    <w:p>
      <w:pPr>
        <w:pStyle w:val="Normal"/>
        <w:widowControl/>
        <w:numPr>
          <w:ilvl w:val="0"/>
          <w:numId w:val="7"/>
        </w:numPr>
        <w:spacing w:before="0" w:after="40"/>
        <w:jc w:val="left"/>
        <w:rPr>
          <w:rStyle w:val="tpa1"/>
          <w:rFonts w:ascii="Arial" w:hAnsi="Arial" w:cs="Arial"/>
          <w:sz w:val="18"/>
          <w:szCs w:val="18"/>
          <w:lang w:val="it-IT"/>
        </w:rPr>
      </w:pPr>
      <w:r>
        <w:rPr>
          <w:rStyle w:val="tpa1"/>
          <w:rFonts w:eastAsia="Arial" w:cs="Arial" w:ascii="Arial" w:hAnsi="Arial"/>
          <w:color w:val="auto"/>
          <w:spacing w:val="0"/>
          <w:w w:val="100"/>
          <w:sz w:val="20"/>
          <w:szCs w:val="20"/>
          <w:lang w:val="ro-RO"/>
        </w:rPr>
        <w:t xml:space="preserve">{{#workersRepresentativeDecision}}Reprezentanții lucrătorilor cu răspunderi specifice în domeniul securității și sănătății în muncă pentru </w:t>
      </w:r>
      <w:r>
        <w:rPr>
          <w:rStyle w:val="tpa1"/>
          <w:rFonts w:eastAsia="Arial" w:cs="Arial" w:ascii="Arial" w:hAnsi="Arial"/>
          <w:b/>
          <w:bCs/>
          <w:color w:val="auto"/>
          <w:spacing w:val="0"/>
          <w:w w:val="100"/>
          <w:sz w:val="20"/>
          <w:szCs w:val="20"/>
          <w:lang w:val="ro-RO"/>
        </w:rPr>
        <w:t xml:space="preserve">{{client.legalName}}</w:t>
      </w:r>
      <w:r>
        <w:rPr>
          <w:rStyle w:val="tpa1"/>
          <w:rFonts w:eastAsia="Arial" w:cs="Arial" w:ascii="Arial" w:hAnsi="Arial"/>
          <w:color w:val="auto"/>
          <w:spacing w:val="0"/>
          <w:w w:val="100"/>
          <w:sz w:val="20"/>
          <w:szCs w:val="20"/>
          <w:lang w:val="ro-RO"/>
        </w:rPr>
        <w:t xml:space="preserve"> sunt desemnați prin decizia internă privind reprezentanții lucrătorilor.{{/workersRepresentativeDecision}}</w:t>
      </w:r>
      <w:r>
        <w:rPr>
          <w:rStyle w:val="tpa1"/>
          <w:rFonts w:eastAsia="Arial" w:cs="Arial" w:ascii="Arial" w:hAnsi="Arial"/>
          <w:color w:val="auto"/>
          <w:spacing w:val="0"/>
          <w:w w:val="100"/>
          <w:sz w:val="20"/>
          <w:szCs w:val="20"/>
          <w:lang w:val="ro-RO"/>
        </w:rPr>
        <w:t xml:space="preserve">{{^workersRepresentativeDecision}}Numărul de reprezentanți ai lucrătorilor cu răspunderi specifice în domeniul securității și sănătății în muncă pentru </w:t>
      </w:r>
      <w:r>
        <w:rPr>
          <w:rStyle w:val="tpa1"/>
          <w:rFonts w:eastAsia="Arial" w:cs="Arial" w:ascii="Arial" w:hAnsi="Arial"/>
          <w:b/>
          <w:bCs/>
          <w:color w:val="auto"/>
          <w:spacing w:val="0"/>
          <w:w w:val="100"/>
          <w:sz w:val="20"/>
          <w:szCs w:val="20"/>
          <w:lang w:val="ro-RO"/>
        </w:rPr>
        <w:t xml:space="preserve">{{client.legalName}}</w:t>
      </w:r>
      <w:r>
        <w:rPr>
          <w:rStyle w:val="tpa1"/>
          <w:rFonts w:eastAsia="Arial" w:cs="Arial" w:ascii="Arial" w:hAnsi="Arial"/>
          <w:color w:val="auto"/>
          <w:spacing w:val="0"/>
          <w:w w:val="100"/>
          <w:sz w:val="20"/>
          <w:szCs w:val="20"/>
          <w:lang w:val="ro-RO"/>
        </w:rPr>
        <w:t xml:space="preserve"> nu este stabilit, deoarece unitatea are sub 10 lucrători (H.G. 1425/2006 – art. 53 alin. (2)).{{/workersRepresentativeDecision}}</w:t>
      </w:r>
    </w:p>
    <w:p>
      <w:pPr>
        <w:pStyle w:val="Normal"/>
        <w:widowControl/>
        <w:numPr>
          <w:ilvl w:val="0"/>
          <w:numId w:val="7"/>
        </w:numPr>
        <w:spacing w:before="0" w:after="40"/>
        <w:jc w:val="left"/>
        <w:rPr>
          <w:rStyle w:val="tpa1"/>
          <w:rFonts w:ascii="Arial" w:hAnsi="Arial" w:cs="Arial"/>
          <w:sz w:val="18"/>
          <w:szCs w:val="18"/>
          <w:lang w:val="it-IT"/>
        </w:rPr>
      </w:pPr>
      <w:r>
        <w:rPr>
          <w:rStyle w:val="tpa1"/>
          <w:rFonts w:eastAsia="Arial" w:cs="Arial" w:ascii="Arial" w:hAnsi="Arial"/>
          <w:color w:val="auto"/>
          <w:spacing w:val="0"/>
          <w:w w:val="100"/>
          <w:sz w:val="20"/>
          <w:szCs w:val="20"/>
          <w:lang w:val="ro-RO"/>
        </w:rPr>
        <w:t>Reprezentanții lucrătorilor cu răspunderi specifice în domeniul securității și sănătății în muncă sunt aleși de către și dintre lucrătorii din unitate, conform celor stabilite prin m</w:t>
      </w:r>
      <w:r>
        <w:rPr>
          <w:rStyle w:val="tal1"/>
          <w:rFonts w:eastAsia="Arial" w:cs="Arial" w:ascii="Arial" w:hAnsi="Arial"/>
          <w:color w:val="auto"/>
          <w:spacing w:val="0"/>
          <w:w w:val="100"/>
          <w:sz w:val="20"/>
          <w:szCs w:val="20"/>
          <w:lang w:val="ro-RO"/>
        </w:rPr>
        <w:t xml:space="preserve">odalitatea de desemnare a reprezentanților lucrătorilor </w:t>
      </w:r>
      <w:r>
        <w:rPr>
          <w:rStyle w:val="tpa1"/>
          <w:rFonts w:eastAsia="Arial" w:cs="Arial" w:ascii="Arial" w:hAnsi="Arial"/>
          <w:color w:val="auto"/>
          <w:spacing w:val="0"/>
          <w:w w:val="100"/>
          <w:sz w:val="20"/>
          <w:szCs w:val="20"/>
          <w:lang w:val="ro-RO"/>
        </w:rPr>
        <w:t>cu răspunderi specifice în domeniul securității și sănătății în muncă.</w:t>
      </w:r>
    </w:p>
    <w:p>
      <w:pPr>
        <w:pStyle w:val="Normal"/>
        <w:keepNext/>
        <w:widowControl/>
        <w:numPr>
          <w:ilvl w:val="0"/>
          <w:numId w:val="7"/>
        </w:numPr>
        <w:spacing w:before="0" w:after="40"/>
        <w:jc w:val="left"/>
        <w:rPr>
          <w:rStyle w:val="tli1"/>
          <w:rFonts w:ascii="Arial" w:hAnsi="Arial" w:cs="Arial"/>
          <w:sz w:val="18"/>
          <w:szCs w:val="18"/>
          <w:lang w:val="it-IT"/>
        </w:rPr>
      </w:pPr>
      <w:r>
        <w:rPr>
          <w:rStyle w:val="tal1"/>
          <w:rFonts w:eastAsia="Arial" w:cs="Arial" w:ascii="Arial" w:hAnsi="Arial"/>
          <w:color w:val="auto"/>
          <w:spacing w:val="0"/>
          <w:w w:val="100"/>
          <w:sz w:val="20"/>
          <w:szCs w:val="20"/>
          <w:lang w:val="ro-RO"/>
        </w:rPr>
        <w:t xml:space="preserve">Angajatorul va acorda fiecărui reprezentant al lucrătorilor în comitetele de securitate și sănătate în muncă timpul necesar exercitării atribuțiilor specifice. Conform H.G. 1425/2006 – art. 61 alin. (2), timpul alocat acestei activități va fi considerat timp de muncă și va fi de cel puțin:</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2 ore pe lună în unitățile având un efectiv de până la 99 de lucrători;</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5 ore pe lună în unitățile având un efectiv între 100 și 299 de lucrători;</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10 ore pe lună în unitățile având un efectiv între 300 și 499 de lucrători;</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15 ore pe lună în unitățile având un efectiv între 500 și 1.499 de lucrători;</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20 de ore pe lună în unitățile având un efectiv de 1.500 de lucrători și peste.</w:t>
      </w:r>
    </w:p>
    <w:p>
      <w:pPr>
        <w:pStyle w:val="Normal"/>
        <w:widowControl/>
        <w:numPr>
          <w:ilvl w:val="0"/>
          <w:numId w:val="7"/>
        </w:numPr>
        <w:spacing w:before="0" w:after="40"/>
        <w:jc w:val="left"/>
        <w:rPr>
          <w:rStyle w:val="tal1"/>
          <w:rFonts w:ascii="Arial" w:hAnsi="Arial" w:cs="Arial"/>
          <w:sz w:val="18"/>
          <w:szCs w:val="18"/>
        </w:rPr>
      </w:pPr>
      <w:r>
        <w:rPr>
          <w:rStyle w:val="tal1"/>
          <w:rFonts w:eastAsia="Arial" w:cs="Arial" w:ascii="Arial" w:hAnsi="Arial"/>
          <w:color w:val="auto"/>
          <w:spacing w:val="0"/>
          <w:w w:val="100"/>
          <w:sz w:val="20"/>
          <w:szCs w:val="20"/>
          <w:lang w:val="ro-RO"/>
        </w:rPr>
        <w:t xml:space="preserve">Conform H.G. 1425/2006 – art. 55, reprezentanții lucrătorilor cu răspunderi specifice în domeniul securității și sănătății în muncă trebuie să urmeze un program de pregătire în domeniul securității și sănătății în muncă, cu o durată de cel puțin 40 de ore, cu conținutul minim conform celui prevăzut în anexa nr. 6 lit. A; îndeplinirea cerinței se atestă printr-un document de absolvire a programului de pregătire.</w:t>
      </w:r>
    </w:p>
    <w:p>
      <w:pPr>
        <w:pStyle w:val="Normal"/>
        <w:keepNext/>
        <w:widowControl/>
        <w:numPr>
          <w:ilvl w:val="0"/>
          <w:numId w:val="7"/>
        </w:numPr>
        <w:spacing w:before="0" w:after="40"/>
        <w:jc w:val="left"/>
        <w:rPr>
          <w:rStyle w:val="tpa1"/>
          <w:rFonts w:ascii="Arial" w:hAnsi="Arial" w:cs="Arial"/>
          <w:sz w:val="18"/>
          <w:szCs w:val="18"/>
        </w:rPr>
      </w:pPr>
      <w:r>
        <w:rPr>
          <w:rStyle w:val="tpa1"/>
          <w:rFonts w:eastAsia="Arial" w:cs="Arial" w:ascii="Arial" w:hAnsi="Arial"/>
          <w:color w:val="auto"/>
          <w:spacing w:val="0"/>
          <w:w w:val="100"/>
          <w:sz w:val="20"/>
          <w:szCs w:val="20"/>
          <w:lang w:val="ro-RO"/>
        </w:rPr>
        <w:t xml:space="preserve">Dacă este cazul, m</w:t>
      </w:r>
      <w:r>
        <w:rPr>
          <w:rStyle w:val="tal1"/>
          <w:rFonts w:eastAsia="Arial" w:cs="Arial" w:ascii="Arial" w:hAnsi="Arial"/>
          <w:color w:val="auto"/>
          <w:spacing w:val="0"/>
          <w:w w:val="100"/>
          <w:sz w:val="20"/>
          <w:szCs w:val="20"/>
          <w:lang w:val="ro-RO"/>
        </w:rPr>
        <w:t xml:space="preserve">odalitatea de desemnare a reprezentanților lucrătorilor </w:t>
      </w:r>
      <w:r>
        <w:rPr>
          <w:rStyle w:val="tpa1"/>
          <w:rFonts w:eastAsia="Arial" w:cs="Arial" w:ascii="Arial" w:hAnsi="Arial"/>
          <w:color w:val="auto"/>
          <w:spacing w:val="0"/>
          <w:w w:val="100"/>
          <w:sz w:val="20"/>
          <w:szCs w:val="20"/>
          <w:lang w:val="ro-RO"/>
        </w:rPr>
        <w:t xml:space="preserve">cu răspunderi specifice în domeniul securității și sănătății în muncă este următoarea:</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lucrătorii din cadrul </w:t>
      </w:r>
      <w:r>
        <w:rPr>
          <w:rStyle w:val="tpa1"/>
          <w:rFonts w:eastAsia="Arial" w:cs="Arial" w:ascii="Arial" w:hAnsi="Arial"/>
          <w:b/>
          <w:bCs/>
          <w:color w:val="auto"/>
          <w:spacing w:val="0"/>
          <w:w w:val="100"/>
          <w:sz w:val="20"/>
          <w:szCs w:val="20"/>
          <w:lang w:val="ro-RO"/>
        </w:rPr>
        <w:t>{{client.legalName}}</w:t>
      </w:r>
      <w:r>
        <w:rPr>
          <w:rStyle w:val="tpa1"/>
          <w:rFonts w:eastAsia="Arial" w:cs="Arial" w:ascii="Arial" w:hAnsi="Arial"/>
          <w:color w:val="auto"/>
          <w:spacing w:val="0"/>
          <w:w w:val="100"/>
          <w:sz w:val="20"/>
          <w:szCs w:val="20"/>
          <w:lang w:val="ro-RO"/>
        </w:rPr>
        <w:t>, cu ocazia adunării generale a salariaților, se vor întruni pentru a alege reprezentanții lucrătorilor cu răspunderi specifice în domeniul securității și sănătății în muncă;</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lucrătorii din cadrul </w:t>
      </w:r>
      <w:r>
        <w:rPr>
          <w:rStyle w:val="tpa1"/>
          <w:rFonts w:eastAsia="Arial" w:cs="Arial" w:ascii="Arial" w:hAnsi="Arial"/>
          <w:b/>
          <w:bCs/>
          <w:color w:val="auto"/>
          <w:spacing w:val="0"/>
          <w:w w:val="100"/>
          <w:sz w:val="20"/>
          <w:szCs w:val="20"/>
          <w:lang w:val="ro-RO"/>
        </w:rPr>
        <w:t>{{client.legalName}}</w:t>
      </w:r>
      <w:r>
        <w:rPr>
          <w:rStyle w:val="tpa1"/>
          <w:rFonts w:eastAsia="Arial" w:cs="Arial" w:ascii="Arial" w:hAnsi="Arial"/>
          <w:color w:val="auto"/>
          <w:spacing w:val="0"/>
          <w:w w:val="100"/>
          <w:sz w:val="20"/>
          <w:szCs w:val="20"/>
          <w:lang w:val="ro-RO"/>
        </w:rPr>
        <w:t xml:space="preserve">, cu ocazia adunării generale a salariaților, vor hotărî prin vot secret </w:t>
      </w:r>
      <w:r>
        <w:rPr>
          <w:rStyle w:val="tal1"/>
          <w:rFonts w:eastAsia="Arial" w:cs="Arial" w:ascii="Arial" w:hAnsi="Arial"/>
          <w:color w:val="auto"/>
          <w:spacing w:val="0"/>
          <w:w w:val="100"/>
          <w:sz w:val="20"/>
          <w:szCs w:val="20"/>
          <w:lang w:val="ro-RO"/>
        </w:rPr>
        <w:t xml:space="preserve">reprezentanții lucrătorilor </w:t>
      </w:r>
      <w:r>
        <w:rPr>
          <w:rStyle w:val="tpa1"/>
          <w:rFonts w:eastAsia="Arial" w:cs="Arial" w:ascii="Arial" w:hAnsi="Arial"/>
          <w:color w:val="auto"/>
          <w:spacing w:val="0"/>
          <w:w w:val="100"/>
          <w:sz w:val="20"/>
          <w:szCs w:val="20"/>
          <w:lang w:val="ro-RO"/>
        </w:rPr>
        <w:t xml:space="preserve">cu răspunderi specifice în domeniul securității și sănătății în muncă, potrivit listei de semnături ce constituie anexa la procesul-verbal de întrunire a adunării generale a salariaților;</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procesul-verbal de întrunire a adunării generale a salariaților va fi încheiat în 3 (trei) exemplare, din care un exemplar pentru reprezentanții salariaților și două exemplare la angajator sau la persoana desemnată de acesta;</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pentru ca alegerea să fie validată, fiecare reprezentant al lucrătorilor cu răspunderi specifice în domeniul securității și sănătății în muncă va trebui să fie ales de cel puțin 50 % + 1 din totalul numărului de angajați ai </w:t>
      </w:r>
      <w:r>
        <w:rPr>
          <w:rStyle w:val="tpa1"/>
          <w:rFonts w:eastAsia="Arial" w:cs="Arial" w:ascii="Arial" w:hAnsi="Arial"/>
          <w:b/>
          <w:bCs/>
          <w:color w:val="auto"/>
          <w:spacing w:val="0"/>
          <w:w w:val="100"/>
          <w:sz w:val="20"/>
          <w:szCs w:val="20"/>
          <w:lang w:val="ro-RO"/>
        </w:rPr>
        <w:t>{{client.legalName}}</w:t>
      </w:r>
      <w:r>
        <w:rPr>
          <w:rStyle w:val="tpa1"/>
          <w:rFonts w:eastAsia="Arial" w:cs="Arial" w:ascii="Arial" w:hAnsi="Arial"/>
          <w:color w:val="auto"/>
          <w:spacing w:val="0"/>
          <w:w w:val="100"/>
          <w:sz w:val="20"/>
          <w:szCs w:val="20"/>
          <w:lang w:val="ro-RO"/>
        </w:rPr>
        <w:t>;</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angajatorul, după alegeri, va desemna prin decizie scrisă reprezentanții lucrătorilor cu răspunderi specifice în domeniul securității și sănătății în muncă;</w:t>
      </w:r>
    </w:p>
    <w:p>
      <w:pPr>
        <w:pStyle w:val="Normal"/>
        <w:widowControl/>
        <w:numPr>
          <w:ilvl w:val="3"/>
          <w:numId w:val="7"/>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atribuțiile reprezentanților lucrătorilor cu răspunderi specifice în domeniul securității și sănătății în muncă vor fi specificate în fișa postului pentru fiecare lucrător ales.</w:t>
      </w:r>
    </w:p>
    <w:p>
      <w:pPr>
        <w:pStyle w:val="Normal"/>
        <w:widowControl/>
        <w:numPr>
          <w:ilvl w:val="0"/>
          <w:numId w:val="7"/>
        </w:numPr>
        <w:spacing w:before="0" w:after="40"/>
        <w:jc w:val="left"/>
        <w:rPr>
          <w:rStyle w:val="al1"/>
          <w:rFonts w:ascii="Arial" w:hAnsi="Arial" w:cs="Arial"/>
          <w:b w:val="false"/>
          <w:bCs w:val="false"/>
          <w:color w:val="000000"/>
          <w:sz w:val="18"/>
          <w:szCs w:val="18"/>
          <w:lang w:val="it-IT"/>
        </w:rPr>
      </w:pPr>
      <w:r>
        <w:rPr>
          <w:rStyle w:val="al1"/>
          <w:rFonts w:eastAsia="Arial" w:cs="Arial" w:ascii="Arial" w:hAnsi="Arial"/>
          <w:b w:val="false"/>
          <w:bCs w:val="false"/>
          <w:color w:val="auto"/>
          <w:spacing w:val="0"/>
          <w:w w:val="100"/>
          <w:sz w:val="20"/>
          <w:szCs w:val="20"/>
          <w:lang w:val="ro-RO"/>
        </w:rPr>
        <w:t>Adunarea generală a salariaților va fi efectuată ori de câte ori va fi necesar prin convocare, afișare la avizierul unității și informarea directă a reprezentanților salariaților.</w:t>
      </w:r>
    </w:p>
    <w:p>
      <w:pPr>
        <w:pStyle w:val="Normal"/>
        <w:widowControl/>
        <w:numPr>
          <w:ilvl w:val="0"/>
          <w:numId w:val="7"/>
        </w:numPr>
        <w:spacing w:before="0" w:after="40"/>
        <w:jc w:val="left"/>
        <w:rPr>
          <w:rStyle w:val="tal1"/>
          <w:rFonts w:ascii="Arial" w:hAnsi="Arial" w:cs="Arial"/>
          <w:sz w:val="18"/>
          <w:szCs w:val="18"/>
          <w:lang w:val="it-IT"/>
        </w:rPr>
      </w:pPr>
      <w:r>
        <w:rPr>
          <w:rStyle w:val="al1"/>
          <w:rFonts w:eastAsia="Arial" w:cs="Arial" w:ascii="Arial" w:hAnsi="Arial"/>
          <w:b w:val="false"/>
          <w:color w:val="auto"/>
          <w:spacing w:val="0"/>
          <w:w w:val="100"/>
          <w:sz w:val="20"/>
          <w:szCs w:val="20"/>
          <w:lang w:val="ro-RO"/>
        </w:rPr>
        <w:t xml:space="preserve">Având în vedere că </w:t>
      </w:r>
      <w:r>
        <w:rPr>
          <w:rStyle w:val="al1"/>
          <w:rFonts w:eastAsia="Arial" w:cs="Arial" w:ascii="Arial" w:hAnsi="Arial"/>
          <w:bCs w:val="false"/>
          <w:color w:val="auto"/>
          <w:spacing w:val="0"/>
          <w:w w:val="100"/>
          <w:sz w:val="20"/>
          <w:szCs w:val="20"/>
          <w:lang w:val="ro-RO"/>
        </w:rPr>
        <w:t>{{client.legalName}}</w:t>
      </w:r>
      <w:r>
        <w:rPr>
          <w:rStyle w:val="al1"/>
          <w:rFonts w:eastAsia="Arial" w:cs="Arial" w:ascii="Arial" w:hAnsi="Arial"/>
          <w:b w:val="false"/>
          <w:color w:val="auto"/>
          <w:spacing w:val="0"/>
          <w:w w:val="100"/>
          <w:sz w:val="20"/>
          <w:szCs w:val="20"/>
          <w:lang w:val="ro-RO"/>
        </w:rPr>
        <w:t xml:space="preserve"> are un număr mediu de sub </w:t>
      </w:r>
      <w:r>
        <w:rPr>
          <w:rStyle w:val="al1"/>
          <w:rFonts w:eastAsia="Arial" w:cs="Arial" w:ascii="Arial" w:hAnsi="Arial"/>
          <w:color w:val="auto"/>
          <w:spacing w:val="0"/>
          <w:w w:val="100"/>
          <w:sz w:val="20"/>
          <w:szCs w:val="20"/>
          <w:lang w:val="ro-RO"/>
        </w:rPr>
        <w:t>50</w:t>
      </w:r>
      <w:r>
        <w:rPr>
          <w:rStyle w:val="al1"/>
          <w:rFonts w:eastAsia="Arial" w:cs="Arial" w:ascii="Arial" w:hAnsi="Arial"/>
          <w:b w:val="false"/>
          <w:color w:val="auto"/>
          <w:spacing w:val="0"/>
          <w:w w:val="100"/>
          <w:sz w:val="20"/>
          <w:szCs w:val="20"/>
          <w:lang w:val="ro-RO"/>
        </w:rPr>
        <w:t xml:space="preserve"> de lucrători, </w:t>
      </w:r>
      <w:r>
        <w:rPr>
          <w:rStyle w:val="al1"/>
          <w:rFonts w:eastAsia="Arial" w:cs="Arial" w:ascii="Arial" w:hAnsi="Arial"/>
          <w:color w:val="auto"/>
          <w:spacing w:val="0"/>
          <w:w w:val="100"/>
          <w:sz w:val="20"/>
          <w:szCs w:val="20"/>
          <w:lang w:val="ro-RO"/>
        </w:rPr>
        <w:t>NU</w:t>
      </w:r>
      <w:r>
        <w:rPr>
          <w:rStyle w:val="al1"/>
          <w:rFonts w:eastAsia="Arial" w:cs="Arial" w:ascii="Arial" w:hAnsi="Arial"/>
          <w:b w:val="false"/>
          <w:color w:val="auto"/>
          <w:spacing w:val="0"/>
          <w:w w:val="100"/>
          <w:sz w:val="20"/>
          <w:szCs w:val="20"/>
          <w:lang w:val="ro-RO"/>
        </w:rPr>
        <w:t xml:space="preserve"> este necesar să se </w:t>
      </w:r>
      <w:r>
        <w:rPr>
          <w:rStyle w:val="tal1"/>
          <w:rFonts w:eastAsia="Arial" w:cs="Arial" w:ascii="Arial" w:hAnsi="Arial"/>
          <w:color w:val="auto"/>
          <w:spacing w:val="0"/>
          <w:w w:val="100"/>
          <w:sz w:val="20"/>
          <w:szCs w:val="20"/>
          <w:lang w:val="ro-RO"/>
        </w:rPr>
        <w:t xml:space="preserve">constituie </w:t>
      </w:r>
      <w:r>
        <w:rPr>
          <w:rStyle w:val="al1"/>
          <w:rFonts w:eastAsia="Arial" w:cs="Arial" w:ascii="Arial" w:hAnsi="Arial"/>
          <w:b w:val="false"/>
          <w:color w:val="auto"/>
          <w:spacing w:val="0"/>
          <w:w w:val="100"/>
          <w:sz w:val="20"/>
          <w:szCs w:val="20"/>
          <w:lang w:val="ro-RO"/>
        </w:rPr>
        <w:t xml:space="preserve">un </w:t>
      </w:r>
      <w:r>
        <w:rPr>
          <w:rStyle w:val="tal1"/>
          <w:rFonts w:eastAsia="Arial" w:cs="Arial" w:ascii="Arial" w:hAnsi="Arial"/>
          <w:color w:val="auto"/>
          <w:spacing w:val="0"/>
          <w:w w:val="100"/>
          <w:sz w:val="20"/>
          <w:szCs w:val="20"/>
          <w:lang w:val="ro-RO"/>
        </w:rPr>
        <w:t>Comitet de securitate și sănătate în muncă.</w:t>
      </w:r>
    </w:p>
    <w:p>
      <w:pPr>
        <w:pStyle w:val="Normal"/>
        <w:widowControl/>
        <w:numPr>
          <w:ilvl w:val="0"/>
          <w:numId w:val="7"/>
        </w:numPr>
        <w:spacing w:before="0" w:after="40"/>
        <w:jc w:val="left"/>
        <w:rPr>
          <w:rFonts w:ascii="Arial" w:hAnsi="Arial" w:cs="Arial"/>
          <w:sz w:val="18"/>
          <w:szCs w:val="18"/>
          <w:lang w:val="it-IT"/>
        </w:rPr>
      </w:pPr>
      <w:r>
        <w:rPr>
          <w:rStyle w:val="tal1"/>
          <w:rFonts w:eastAsia="Arial" w:cs="Arial" w:ascii="Arial" w:hAnsi="Arial"/>
          <w:color w:val="auto"/>
          <w:spacing w:val="0"/>
          <w:w w:val="100"/>
          <w:sz w:val="20"/>
          <w:szCs w:val="20"/>
          <w:lang w:val="ro-RO"/>
        </w:rPr>
        <w:t xml:space="preserve">Comitetul de securitate și sănătate în muncă este constituit din reprezentanții lucrătorilor cu răspunderi specifice în domeniul securității și sănătății lucrătorilor, pe de o parte, și angajatorul sau reprezentantul său legal și/ sau reprezentanții săi în număr egal cu cel al reprezentanților lucrătorilor și medicul de medicina muncii, pe de altă parte.</w:t>
      </w:r>
    </w:p>
    <w:p>
      <w:pPr>
        <w:pStyle w:val="Normal"/>
        <w:widowControl/>
        <w:numPr>
          <w:ilvl w:val="0"/>
          <w:numId w:val="7"/>
        </w:numPr>
        <w:spacing w:before="0" w:after="40"/>
        <w:jc w:val="left"/>
        <w:rPr>
          <w:rFonts w:ascii="Arial" w:hAnsi="Arial" w:cs="Arial"/>
          <w:sz w:val="18"/>
          <w:szCs w:val="18"/>
          <w:lang w:val="it-IT"/>
        </w:rPr>
      </w:pPr>
      <w:r>
        <w:rPr>
          <w:rStyle w:val="tal1"/>
          <w:rFonts w:eastAsia="Arial" w:cs="Arial" w:ascii="Arial" w:hAnsi="Arial"/>
          <w:color w:val="auto"/>
          <w:spacing w:val="0"/>
          <w:w w:val="100"/>
          <w:sz w:val="20"/>
          <w:szCs w:val="20"/>
          <w:lang w:val="ro-RO"/>
        </w:rPr>
        <w:t>Lucrătorul desemnat sau reprezentantul serviciului intern de prevenire și protecție este secretarul comitetului de securitate și sănătate în muncă.</w:t>
      </w:r>
    </w:p>
    <w:p>
      <w:pPr>
        <w:pStyle w:val="Normal"/>
        <w:widowControl/>
        <w:numPr>
          <w:ilvl w:val="0"/>
          <w:numId w:val="7"/>
        </w:numPr>
        <w:spacing w:before="0" w:after="40"/>
        <w:jc w:val="left"/>
        <w:rPr>
          <w:rFonts w:ascii="Arial" w:hAnsi="Arial" w:cs="Arial"/>
          <w:sz w:val="18"/>
          <w:szCs w:val="18"/>
          <w:lang w:val="it-IT"/>
        </w:rPr>
      </w:pPr>
      <w:r>
        <w:rPr>
          <w:rStyle w:val="tpa1"/>
          <w:rFonts w:eastAsia="Arial" w:cs="Arial" w:ascii="Arial" w:hAnsi="Arial"/>
          <w:color w:val="auto"/>
          <w:spacing w:val="0"/>
          <w:w w:val="100"/>
          <w:sz w:val="20"/>
          <w:szCs w:val="20"/>
          <w:lang w:val="ro-RO"/>
        </w:rPr>
        <w:t>Membrii comitetului de securitate și sănătate în muncă se nominalizează prin decizie scrisă a președintelui acestuia, iar componența comitetului va fi adusă la cunoștința tuturor lucrătorilor.</w:t>
      </w:r>
    </w:p>
    <w:p>
      <w:pPr>
        <w:pStyle w:val="Normal"/>
        <w:widowControl/>
        <w:numPr>
          <w:ilvl w:val="0"/>
          <w:numId w:val="7"/>
        </w:numPr>
        <w:spacing w:before="0" w:after="40"/>
        <w:jc w:val="left"/>
        <w:rPr>
          <w:rFonts w:ascii="Arial" w:hAnsi="Arial" w:cs="Arial"/>
          <w:sz w:val="18"/>
          <w:szCs w:val="18"/>
          <w:lang w:val="it-IT"/>
        </w:rPr>
      </w:pPr>
      <w:r>
        <w:rPr>
          <w:rStyle w:val="tal1"/>
          <w:rFonts w:eastAsia="Arial" w:cs="Arial" w:ascii="Arial" w:hAnsi="Arial"/>
          <w:color w:val="auto"/>
          <w:spacing w:val="0"/>
          <w:w w:val="100"/>
          <w:sz w:val="20"/>
          <w:szCs w:val="20"/>
          <w:lang w:val="ro-RO"/>
        </w:rPr>
        <w:t xml:space="preserve">La întrunirile comitetului de securitate și sănătate în muncă vor fi convocați să participe lucrătorii desemnați, reprezentanții serviciului intern de prevenire și protecție și, în cazul în care angajatorul a contractat unul sau mai multe servicii externe de prevenire și protecție, reprezentanții acestora, dar vor putea fi convocați să participe și alți lucrători din cadrul </w:t>
      </w:r>
      <w:r>
        <w:rPr>
          <w:rStyle w:val="tal1"/>
          <w:rFonts w:eastAsia="Arial" w:cs="Arial" w:ascii="Arial" w:hAnsi="Arial"/>
          <w:b/>
          <w:bCs/>
          <w:color w:val="auto"/>
          <w:spacing w:val="0"/>
          <w:w w:val="100"/>
          <w:sz w:val="20"/>
          <w:szCs w:val="20"/>
          <w:lang w:val="ro-RO"/>
        </w:rPr>
        <w:t>{{client.legalName}}</w:t>
      </w:r>
      <w:r>
        <w:rPr>
          <w:rStyle w:val="tal1"/>
          <w:rFonts w:eastAsia="Arial" w:cs="Arial" w:ascii="Arial" w:hAnsi="Arial"/>
          <w:color w:val="auto"/>
          <w:spacing w:val="0"/>
          <w:w w:val="100"/>
          <w:sz w:val="20"/>
          <w:szCs w:val="20"/>
          <w:lang w:val="ro-RO"/>
        </w:rPr>
        <w:t>.</w:t>
      </w:r>
    </w:p>
    <w:p>
      <w:pPr>
        <w:pStyle w:val="Normal"/>
        <w:widowControl/>
        <w:numPr>
          <w:ilvl w:val="0"/>
          <w:numId w:val="7"/>
        </w:numPr>
        <w:spacing w:before="0" w:after="40"/>
        <w:jc w:val="left"/>
        <w:rPr>
          <w:rFonts w:ascii="Arial" w:hAnsi="Arial" w:cs="Arial"/>
          <w:sz w:val="18"/>
          <w:szCs w:val="18"/>
          <w:lang w:val="it-IT"/>
        </w:rPr>
      </w:pPr>
      <w:r>
        <w:rPr>
          <w:rStyle w:val="tal1"/>
          <w:rFonts w:eastAsia="Arial" w:cs="Arial" w:ascii="Arial" w:hAnsi="Arial"/>
          <w:color w:val="auto"/>
          <w:spacing w:val="0"/>
          <w:w w:val="100"/>
          <w:sz w:val="20"/>
          <w:szCs w:val="20"/>
          <w:lang w:val="ro-RO"/>
        </w:rPr>
        <w:t>La întrunirile comitetului de securitate și sănătate în muncă pot fi invitați să participe inspectori de muncă.</w:t>
      </w:r>
    </w:p>
    <w:p>
      <w:pPr>
        <w:pStyle w:val="Normal"/>
        <w:widowControl/>
        <w:numPr>
          <w:ilvl w:val="0"/>
          <w:numId w:val="7"/>
        </w:numPr>
        <w:spacing w:before="0" w:after="40"/>
        <w:jc w:val="left"/>
        <w:rPr>
          <w:rStyle w:val="tpa1"/>
          <w:rFonts w:ascii="Arial" w:hAnsi="Arial" w:cs="Arial"/>
          <w:b/>
          <w:bCs/>
          <w:sz w:val="18"/>
          <w:szCs w:val="18"/>
          <w:lang w:val="it-IT"/>
        </w:rPr>
      </w:pPr>
      <w:r>
        <w:rPr>
          <w:rStyle w:val="tpa1"/>
          <w:rFonts w:eastAsia="Arial" w:cs="Arial" w:ascii="Arial" w:hAnsi="Arial"/>
          <w:color w:val="auto"/>
          <w:spacing w:val="0"/>
          <w:w w:val="100"/>
          <w:sz w:val="20"/>
          <w:szCs w:val="20"/>
          <w:lang w:val="ro-RO"/>
        </w:rPr>
        <w:t xml:space="preserve">Comitetul de securitate și sănătate în muncă va funcționa în baza regulamentului de </w:t>
      </w:r>
      <w:r>
        <w:rPr>
          <w:rStyle w:val="tpa1"/>
          <w:rFonts w:eastAsia="Arial" w:cs="Arial" w:ascii="Arial" w:hAnsi="Arial"/>
          <w:color w:val="auto"/>
          <w:spacing w:val="0"/>
          <w:w w:val="100"/>
          <w:sz w:val="20"/>
          <w:szCs w:val="20"/>
          <w:lang w:val="ro-RO"/>
        </w:rPr>
        <w:t>funcționare</w:t>
      </w:r>
      <w:r>
        <w:rPr>
          <w:rStyle w:val="tpa1"/>
          <w:rFonts w:eastAsia="Arial" w:cs="Arial" w:ascii="Arial" w:hAnsi="Arial"/>
          <w:color w:val="auto"/>
          <w:spacing w:val="0"/>
          <w:w w:val="100"/>
          <w:sz w:val="20"/>
          <w:szCs w:val="20"/>
          <w:lang w:val="ro-RO"/>
        </w:rPr>
        <w:t xml:space="preserve"> propriu al</w:t>
      </w:r>
      <w:r>
        <w:rPr>
          <w:rStyle w:val="tal1"/>
          <w:rFonts w:eastAsia="Arial" w:cs="Arial" w:ascii="Arial" w:hAnsi="Arial"/>
          <w:color w:val="auto"/>
          <w:spacing w:val="0"/>
          <w:w w:val="100"/>
          <w:sz w:val="20"/>
          <w:szCs w:val="20"/>
          <w:lang w:val="ro-RO"/>
        </w:rPr>
        <w:t xml:space="preserve"> </w:t>
      </w:r>
      <w:r>
        <w:rPr>
          <w:rStyle w:val="tal1"/>
          <w:rFonts w:eastAsia="Arial" w:cs="Arial" w:ascii="Arial" w:hAnsi="Arial"/>
          <w:b/>
          <w:bCs/>
          <w:color w:val="auto"/>
          <w:spacing w:val="0"/>
          <w:w w:val="100"/>
          <w:sz w:val="20"/>
          <w:szCs w:val="20"/>
          <w:lang w:val="ro-RO"/>
        </w:rPr>
        <w:t>{{client.legalName}}.</w:t>
      </w:r>
    </w:p>
    <w:p>
      <w:pPr>
        <w:pStyle w:val="Normal"/>
        <w:keepNext/>
        <w:widowControl/>
        <w:numPr>
          <w:ilvl w:val="0"/>
          <w:numId w:val="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w:t>
      </w:r>
      <w:r>
        <w:rPr>
          <w:rFonts w:eastAsia="Arial" w:cs="Arial" w:ascii="Arial" w:hAnsi="Arial"/>
          <w:bCs/>
          <w:color w:val="auto"/>
          <w:spacing w:val="0"/>
          <w:w w:val="100"/>
          <w:sz w:val="20"/>
          <w:szCs w:val="20"/>
          <w:lang w:val="ro-RO"/>
        </w:rPr>
        <w:t xml:space="preserve">ucrătorul desemnat sau </w:t>
      </w:r>
      <w:r>
        <w:rPr>
          <w:rFonts w:eastAsia="Arial" w:cs="Arial" w:ascii="Arial" w:hAnsi="Arial"/>
          <w:color w:val="auto"/>
          <w:spacing w:val="0"/>
          <w:w w:val="100"/>
          <w:sz w:val="20"/>
          <w:szCs w:val="20"/>
          <w:lang w:val="ro-RO"/>
        </w:rPr>
        <w:t>s</w:t>
      </w:r>
      <w:r>
        <w:rPr>
          <w:rFonts w:eastAsia="Arial" w:cs="Arial" w:ascii="Arial" w:hAnsi="Arial"/>
          <w:bCs/>
          <w:color w:val="auto"/>
          <w:spacing w:val="0"/>
          <w:w w:val="100"/>
          <w:sz w:val="20"/>
          <w:szCs w:val="20"/>
          <w:lang w:val="ro-RO"/>
        </w:rPr>
        <w:t>erviciul extern va trebui:</w:t>
      </w:r>
    </w:p>
    <w:p>
      <w:pPr>
        <w:pStyle w:val="Normal"/>
        <w:widowControl/>
        <w:numPr>
          <w:ilvl w:val="0"/>
          <w:numId w:val="52"/>
        </w:numPr>
        <w:spacing w:before="0" w:after="40"/>
        <w:ind w:hanging="360" w:left="1080" w:right="0"/>
        <w:jc w:val="left"/>
        <w:rPr>
          <w:rFonts w:ascii="Arial" w:hAnsi="Arial" w:cs="Arial"/>
          <w:sz w:val="20"/>
          <w:szCs w:val="20"/>
          <w:lang w:val="ro-RO"/>
        </w:rPr>
      </w:pPr>
      <w:r>
        <w:rPr>
          <w:rFonts w:eastAsia="Arial" w:cs="Arial" w:ascii="Arial" w:hAnsi="Arial"/>
          <w:color w:val="auto"/>
          <w:spacing w:val="0"/>
          <w:w w:val="100"/>
          <w:sz w:val="20"/>
          <w:szCs w:val="20"/>
          <w:lang w:val="ro-RO"/>
        </w:rPr>
        <w:t>să propună atribuții și răspunderi în domeniul securității și sănătății în muncă pentru fișa postului pentru angajați, corespunzător funcțiilor exercitate;</w:t>
      </w:r>
    </w:p>
    <w:p>
      <w:pPr>
        <w:pStyle w:val="Normal"/>
        <w:widowControl/>
        <w:numPr>
          <w:ilvl w:val="0"/>
          <w:numId w:val="50"/>
        </w:numPr>
        <w:spacing w:before="0" w:after="40"/>
        <w:ind w:hanging="360" w:left="1080" w:right="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elaboreze instrucțiuni proprii de securitate a muncii, care să detalieze și să particularizeze normele specifice securității și sănătății muncii;</w:t>
      </w:r>
    </w:p>
    <w:p>
      <w:pPr>
        <w:pStyle w:val="Normal"/>
        <w:widowControl/>
        <w:numPr>
          <w:ilvl w:val="0"/>
          <w:numId w:val="50"/>
        </w:numPr>
        <w:spacing w:before="0" w:after="40"/>
        <w:ind w:hanging="360" w:left="1080" w:right="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și să controleze cunoașterea și aplicarea de către toți angajații a măsurilor tehnice și organizatorice stabilite, precum și a prevederilor legale în domeniul securității muncii;</w:t>
      </w:r>
    </w:p>
    <w:p>
      <w:pPr>
        <w:pStyle w:val="Normal"/>
        <w:widowControl/>
        <w:numPr>
          <w:ilvl w:val="0"/>
          <w:numId w:val="50"/>
        </w:numPr>
        <w:spacing w:before="0" w:after="40"/>
        <w:ind w:hanging="360" w:left="1080" w:right="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materiale necesare informării și educării angajaților: afișe, pliante, teste, fișe tehnice de securitate etc.;</w:t>
      </w:r>
    </w:p>
    <w:p>
      <w:pPr>
        <w:pStyle w:val="Normal"/>
        <w:widowControl/>
        <w:numPr>
          <w:ilvl w:val="0"/>
          <w:numId w:val="50"/>
        </w:numPr>
        <w:spacing w:before="0" w:after="40"/>
        <w:ind w:hanging="360" w:left="1080" w:right="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informarea fiecărei persoane, anterior angajării, asupra riscurilor la care aceasta va fi expusă, precum și asupra măsurilor tehnice și organizatorice de prevenire necesare;</w:t>
      </w:r>
    </w:p>
    <w:p>
      <w:pPr>
        <w:pStyle w:val="Normal"/>
        <w:widowControl/>
        <w:numPr>
          <w:ilvl w:val="0"/>
          <w:numId w:val="50"/>
        </w:numPr>
        <w:spacing w:before="0" w:after="120"/>
        <w:ind w:hanging="360" w:left="1080" w:right="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să asigure materialul necesar pentru informarea angajatorilor din orice unitate exterioară, ai căror angajați lucrează în unitatea sa, referitor la riscurile pentru securitate și sănătate la care aceștia pot fi expuși, precum și măsurile de prevenire și protecție adoptate la nivel de unitate și loc de muncă, inclusiv cele referitoare la primul ajutor, prevenirea și stingerea incendiilor și evacuarea în caz de urgență.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Reguli privind respectarea principiului nediscriminării și al înlăturării oricărei forme de încălcare a demnității</w:t>
      </w:r>
      <w:r>
        <w:rPr>
          <w:rFonts w:eastAsia="Arial" w:cs="Arial" w:ascii="Arial" w:hAnsi="Arial"/>
          <w:color w:val="auto"/>
          <w:spacing w:val="0"/>
          <w:w w:val="100"/>
          <w:sz w:val="20"/>
          <w:szCs w:val="20"/>
          <w:lang w:val="ro-RO"/>
        </w:rPr>
        <w:t>:</w:t>
      </w:r>
    </w:p>
    <w:p>
      <w:pPr>
        <w:pStyle w:val="Normal"/>
        <w:widowControl/>
        <w:numPr>
          <w:ilvl w:val="0"/>
          <w:numId w:val="1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cadrul relațiilor de muncă funcționează principiul egalității de tratament față de toți lucrătorii și angajatorii; orice discriminare este interzisă.</w:t>
      </w:r>
    </w:p>
    <w:p>
      <w:pPr>
        <w:pStyle w:val="BodyText"/>
        <w:widowControl/>
        <w:numPr>
          <w:ilvl w:val="0"/>
          <w:numId w:val="17"/>
        </w:numPr>
        <w:spacing w:before="0" w:after="40"/>
        <w:jc w:val="left"/>
        <w:rPr>
          <w:rFonts w:ascii="Arial" w:hAnsi="Arial" w:cs="Arial"/>
          <w:b/>
          <w:bCs/>
          <w:sz w:val="18"/>
          <w:szCs w:val="18"/>
          <w:lang w:val="it-IT"/>
        </w:rPr>
      </w:pPr>
      <w:r>
        <w:rPr>
          <w:rFonts w:eastAsia="Arial" w:cs="Arial" w:ascii="Arial" w:hAnsi="Arial"/>
          <w:color w:val="auto"/>
          <w:spacing w:val="0"/>
          <w:w w:val="100"/>
          <w:sz w:val="20"/>
          <w:szCs w:val="20"/>
          <w:lang w:val="ro-RO"/>
        </w:rPr>
        <w:t xml:space="preserve">Prin discriminare se înțelege orice deosebire, excludere, restricție sau preferință, pe bază de rasă, naționalitate, etnie, limbă, religie, categorie socială, convingeri, gen, orientare sexuală, vârstă, dizabilitate, boală cronică necontagioasă, infectare HIV ori apartenență la o categorie defavorizată sau orice alt criteriu care are ca scop sau efect restrângerea sau înlăturarea recunoașterii, folosinței sau exercitării, în condiții egale, a drepturilor omului și libertăților fundamentale sau a drepturilor recunoscute de lege, în domeniul politic, economic, social și cultural.</w:t>
      </w:r>
    </w:p>
    <w:p>
      <w:pPr>
        <w:pStyle w:val="Heading5"/>
        <w:keepNext/>
        <w:widowControl/>
        <w:numPr>
          <w:ilvl w:val="0"/>
          <w:numId w:val="17"/>
        </w:numPr>
        <w:spacing w:before="0" w:after="40"/>
        <w:jc w:val="left"/>
        <w:rPr>
          <w:rFonts w:ascii="Arial" w:hAnsi="Arial" w:cs="Arial"/>
          <w:bCs/>
          <w:i w:val="false"/>
          <w:iCs w:val="false"/>
          <w:sz w:val="18"/>
          <w:szCs w:val="18"/>
          <w:lang w:val="it-IT"/>
        </w:rPr>
      </w:pPr>
      <w:r>
        <w:rPr>
          <w:rFonts w:eastAsia="Arial" w:cs="Arial" w:ascii="Arial" w:hAnsi="Arial"/>
          <w:bCs/>
          <w:i w:val="false"/>
          <w:iCs w:val="false"/>
          <w:color w:val="auto"/>
          <w:spacing w:val="0"/>
          <w:w w:val="100"/>
          <w:sz w:val="20"/>
          <w:szCs w:val="20"/>
          <w:lang w:val="ro-RO"/>
        </w:rPr>
        <w:t>Principiul egalității, al excluderii privilegiilor și discriminării este garantat în exercitarea următoarelor drepturi:</w:t>
      </w:r>
    </w:p>
    <w:p>
      <w:pPr>
        <w:pStyle w:val="Normal"/>
        <w:widowControl/>
        <w:numPr>
          <w:ilvl w:val="0"/>
          <w:numId w:val="15"/>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dreptul la muncă, la condiții de muncă echitabile și satisfăcătoare, la protecție împotriva șomajului, la salariu egal pentru muncă egală, la o remunerație echitabilă și satisfăcătoare;</w:t>
      </w:r>
    </w:p>
    <w:p>
      <w:pPr>
        <w:pStyle w:val="Normal"/>
        <w:widowControl/>
        <w:numPr>
          <w:ilvl w:val="0"/>
          <w:numId w:val="15"/>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dreptul la sănătate, la securitate socială și la servicii sociale;</w:t>
      </w:r>
    </w:p>
    <w:p>
      <w:pPr>
        <w:pStyle w:val="Normal"/>
        <w:widowControl/>
        <w:numPr>
          <w:ilvl w:val="0"/>
          <w:numId w:val="15"/>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dreptul la pregătire profesională;</w:t>
      </w:r>
    </w:p>
    <w:p>
      <w:pPr>
        <w:pStyle w:val="Normal"/>
        <w:widowControl/>
        <w:numPr>
          <w:ilvl w:val="0"/>
          <w:numId w:val="15"/>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dreptul de a lua parte, în condiții egale, la activități culturale și sportive.</w:t>
      </w:r>
    </w:p>
    <w:p>
      <w:pPr>
        <w:pStyle w:val="Normal"/>
        <w:keepNext/>
        <w:widowControl/>
        <w:numPr>
          <w:ilvl w:val="0"/>
          <w:numId w:val="17"/>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Principiul egalității de șanse este aplicat în ceea ce privește:</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condițiile de încadrare în muncă, criteriile și condițiile de recrutare;</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selectare și promovare, formare și perfecționare profesională;</w:t>
      </w:r>
    </w:p>
    <w:p>
      <w:pPr>
        <w:pStyle w:val="Normal"/>
        <w:widowControl/>
        <w:numPr>
          <w:ilvl w:val="0"/>
          <w:numId w:val="39"/>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anunțarea, organizarea concursurilor sau examenelor și selecția candidaților pentru posturile vacante;</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încheierea, suspendarea, modificarea sau încetarea raportului de muncă;</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stabilirea și modificarea atribuțiilor de serviciu din fișa postului, locului de muncă;</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stabilirea remunerației;</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evaluarea performanțelor profesionale individuale;</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promovarea personală;</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acordarea altor drepturi sociale, altele decât cele reprezentând salariul;</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formarea, perfecționarea, reconversia și promovarea profesională;</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aplicarea măsurilor disciplinare;</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dreptul la aderare la sindicat și accesul la facilitățile acordate de acesta;</w:t>
      </w:r>
    </w:p>
    <w:p>
      <w:pPr>
        <w:pStyle w:val="Normal"/>
        <w:widowControl/>
        <w:numPr>
          <w:ilvl w:val="0"/>
          <w:numId w:val="3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orice alte condiții de prestare a muncii, potrivit legislației în vigoare.</w:t>
      </w:r>
    </w:p>
    <w:p>
      <w:pPr>
        <w:pStyle w:val="Normal"/>
        <w:widowControl/>
        <w:numPr>
          <w:ilvl w:val="0"/>
          <w:numId w:val="1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cadrul relațiilor dintre lucrătorii </w:t>
      </w:r>
      <w:r>
        <w:rPr>
          <w:rFonts w:eastAsia="Arial" w:cs="Arial" w:ascii="Arial" w:hAnsi="Arial"/>
          <w:color w:val="auto"/>
          <w:spacing w:val="0"/>
          <w:w w:val="100"/>
          <w:sz w:val="20"/>
          <w:szCs w:val="20"/>
          <w:lang w:val="ro-RO"/>
        </w:rPr>
        <w:t xml:space="preserve">unității,</w:t>
      </w:r>
      <w:r>
        <w:rPr>
          <w:rFonts w:eastAsia="Arial" w:cs="Arial" w:ascii="Arial" w:hAnsi="Arial"/>
          <w:color w:val="auto"/>
          <w:spacing w:val="0"/>
          <w:w w:val="100"/>
          <w:sz w:val="20"/>
          <w:szCs w:val="20"/>
          <w:lang w:val="ro-RO"/>
        </w:rPr>
        <w:t xml:space="preserve"> precum și dintre aceștia și alte persoane fizice cu care vin în contact în îndeplinirea atribuțiilor de serviciu, se interzice orice comportament care să aibă ca scop sau efect defavorizarea sau supunerea la un tratament injust sau degradant a unei persoane sau grup de persoane.</w:t>
      </w:r>
    </w:p>
    <w:p>
      <w:pPr>
        <w:pStyle w:val="Normal"/>
        <w:keepNext/>
        <w:widowControl/>
        <w:numPr>
          <w:ilvl w:val="0"/>
          <w:numId w:val="1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Constituie abatere disciplinară orice comportament având ca scop:</w:t>
      </w:r>
    </w:p>
    <w:p>
      <w:pPr>
        <w:pStyle w:val="Normal"/>
        <w:widowControl/>
        <w:numPr>
          <w:ilvl w:val="0"/>
          <w:numId w:val="2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crearea la locul de muncă a unei atmosfere de intimidare, de ostilitate sau descurajare pentru o persoană sau grup de persoane;</w:t>
      </w:r>
    </w:p>
    <w:p>
      <w:pPr>
        <w:pStyle w:val="Normal"/>
        <w:widowControl/>
        <w:numPr>
          <w:ilvl w:val="0"/>
          <w:numId w:val="24"/>
        </w:numPr>
        <w:spacing w:before="0" w:after="12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influențarea negativă a situației lucrătorului în ceea ce privește promovarea profesională, remunerația sau veniturile de orice natură ori accesul la formarea și perfecționarea profesională, în cazul refuzului acestuia de a accepta un comportament nedorit, ce ține de viața sexuală.</w:t>
      </w:r>
    </w:p>
    <w:p>
      <w:pPr>
        <w:pStyle w:val="Normal"/>
        <w:keepNext/>
        <w:widowControl/>
        <w:numPr>
          <w:ilvl w:val="0"/>
          <w:numId w:val="9"/>
        </w:numPr>
        <w:spacing w:before="120" w:after="60"/>
        <w:jc w:val="left"/>
        <w:rPr>
          <w:rFonts w:ascii="Arial" w:hAnsi="Arial" w:cs="Arial"/>
          <w:sz w:val="18"/>
          <w:szCs w:val="18"/>
          <w:lang w:val="de-DE"/>
        </w:rPr>
      </w:pPr>
      <w:r>
        <w:rPr>
          <w:rFonts w:eastAsia="Arial" w:cs="Arial" w:ascii="Arial" w:hAnsi="Arial"/>
          <w:bCs/>
          <w:color w:val="auto"/>
          <w:spacing w:val="0"/>
          <w:w w:val="100"/>
          <w:sz w:val="20"/>
          <w:szCs w:val="20"/>
          <w:lang w:val="ro-RO"/>
        </w:rPr>
        <w:t>Reglementări privind protecția maternității</w:t>
      </w:r>
      <w:r>
        <w:rPr>
          <w:rFonts w:eastAsia="Arial" w:cs="Arial" w:ascii="Arial" w:hAnsi="Arial"/>
          <w:bCs/>
          <w:color w:val="auto"/>
          <w:spacing w:val="0"/>
          <w:w w:val="100"/>
          <w:sz w:val="20"/>
          <w:szCs w:val="20"/>
          <w:lang w:val="ro-RO"/>
        </w:rPr>
        <w:t>:</w:t>
      </w:r>
    </w:p>
    <w:p>
      <w:pPr>
        <w:pStyle w:val="Normal"/>
        <w:widowControl/>
        <w:numPr>
          <w:ilvl w:val="0"/>
          <w:numId w:val="34"/>
        </w:numPr>
        <w:spacing w:before="0" w:after="40"/>
        <w:jc w:val="left"/>
        <w:rPr>
          <w:rStyle w:val="tpa1"/>
          <w:rFonts w:ascii="Arial" w:hAnsi="Arial" w:cs="Arial"/>
          <w:b/>
          <w:sz w:val="18"/>
          <w:szCs w:val="18"/>
          <w:lang w:val="it-CH"/>
        </w:rPr>
      </w:pPr>
      <w:r>
        <w:rPr>
          <w:rFonts w:eastAsia="Arial" w:cs="Arial" w:ascii="Arial" w:hAnsi="Arial"/>
          <w:color w:val="auto"/>
          <w:spacing w:val="0"/>
          <w:w w:val="100"/>
          <w:sz w:val="20"/>
          <w:szCs w:val="20"/>
          <w:lang w:val="ro-RO"/>
        </w:rPr>
        <w:t xml:space="preserve">În ceea ce privește </w:t>
      </w:r>
      <w:r>
        <w:rPr>
          <w:rStyle w:val="tpa1"/>
          <w:rFonts w:eastAsia="Arial" w:cs="Arial" w:ascii="Arial" w:hAnsi="Arial"/>
          <w:color w:val="auto"/>
          <w:spacing w:val="0"/>
          <w:w w:val="100"/>
          <w:sz w:val="20"/>
          <w:szCs w:val="20"/>
          <w:lang w:val="ro-RO"/>
        </w:rPr>
        <w:t>securitatea și sănătatea în muncă a salariatelor gravide și/ sau mame, lăuze sau care alăptează, angajatorul va asigura la locul de muncă măsuri privind igiena, protecția sănătății și securitatea în muncă a acestora conform prevederilor legale.</w:t>
      </w:r>
    </w:p>
    <w:p>
      <w:pPr>
        <w:pStyle w:val="Normal"/>
        <w:keepNext/>
        <w:widowControl/>
        <w:numPr>
          <w:ilvl w:val="0"/>
          <w:numId w:val="34"/>
        </w:numPr>
        <w:spacing w:before="0" w:after="40"/>
        <w:jc w:val="left"/>
        <w:rPr>
          <w:rStyle w:val="tpa1"/>
          <w:rFonts w:ascii="Arial" w:hAnsi="Arial" w:cs="Arial"/>
          <w:b/>
          <w:sz w:val="18"/>
          <w:szCs w:val="18"/>
          <w:lang w:val="it-CH"/>
        </w:rPr>
      </w:pPr>
      <w:r>
        <w:rPr>
          <w:rStyle w:val="tpa1"/>
          <w:rFonts w:eastAsia="Arial" w:cs="Arial" w:ascii="Arial" w:hAnsi="Arial"/>
          <w:color w:val="auto"/>
          <w:spacing w:val="0"/>
          <w:w w:val="100"/>
          <w:sz w:val="20"/>
          <w:szCs w:val="20"/>
          <w:lang w:val="ro-RO"/>
        </w:rPr>
        <w:t xml:space="preserve">Salariatele gravide și/ sau mamele, lăuzele sau care alăptează, pentru a beneficia de aceste măsuri, trebuie să informeze în scris angajatorul asupra stării lor fiziologice astfel:</w:t>
      </w:r>
    </w:p>
    <w:p>
      <w:pPr>
        <w:pStyle w:val="Normal"/>
        <w:widowControl/>
        <w:numPr>
          <w:ilvl w:val="0"/>
          <w:numId w:val="35"/>
        </w:numPr>
        <w:spacing w:before="0" w:after="40"/>
        <w:ind w:hanging="360" w:left="1080"/>
        <w:jc w:val="left"/>
        <w:rPr>
          <w:rFonts w:ascii="Arial" w:hAnsi="Arial" w:cs="Arial"/>
          <w:b/>
          <w:sz w:val="20"/>
          <w:szCs w:val="20"/>
          <w:lang w:val="it-CH"/>
        </w:rPr>
      </w:pPr>
      <w:r>
        <w:rPr>
          <w:rStyle w:val="tpa1"/>
          <w:rFonts w:eastAsia="Arial" w:cs="Arial" w:ascii="Arial" w:hAnsi="Arial"/>
          <w:color w:val="auto"/>
          <w:spacing w:val="0"/>
          <w:w w:val="100"/>
          <w:sz w:val="20"/>
          <w:szCs w:val="20"/>
          <w:lang w:val="ro-RO"/>
        </w:rPr>
        <w:t xml:space="preserve">salariata gravidă va anunța</w:t>
      </w:r>
      <w:r>
        <w:rPr>
          <w:rFonts w:eastAsia="Arial" w:cs="Arial" w:ascii="Arial" w:hAnsi="Arial"/>
          <w:color w:val="auto"/>
          <w:spacing w:val="0"/>
          <w:w w:val="100"/>
          <w:sz w:val="20"/>
          <w:szCs w:val="20"/>
          <w:lang w:val="ro-RO"/>
        </w:rPr>
        <w:t xml:space="preserve"> în scris angajatorul asupra stării sale fiziologice de graviditate, va depune în copie Anexa pentru supravegherea medicală a gravidei – document medical, completat de medic, însoțită de o cerere care conține informații referitoare la starea de maternitate și solicitarea de a i se aplica măsurile de protecție prevăzute de ordonanță; documentul medical va conține constatarea stării fiziologice de sănătate, data prezumtivă a nașterii, recomandări privind capacitatea de muncă a acesteia pe timp de zi/ noapte, precum și în condiții de muncă insalubre sau greu de suportat;</w:t>
      </w:r>
    </w:p>
    <w:p>
      <w:pPr>
        <w:pStyle w:val="Normal"/>
        <w:widowControl/>
        <w:numPr>
          <w:ilvl w:val="0"/>
          <w:numId w:val="35"/>
        </w:numPr>
        <w:spacing w:before="0" w:after="40"/>
        <w:ind w:hanging="360" w:left="1080"/>
        <w:jc w:val="left"/>
        <w:rPr>
          <w:rFonts w:ascii="Arial" w:hAnsi="Arial" w:cs="Arial"/>
          <w:b/>
          <w:sz w:val="20"/>
          <w:szCs w:val="20"/>
          <w:lang w:val="it-CH"/>
        </w:rPr>
      </w:pPr>
      <w:r>
        <w:rPr>
          <w:rFonts w:eastAsia="Arial" w:cs="Arial" w:ascii="Arial" w:hAnsi="Arial"/>
          <w:color w:val="auto"/>
          <w:spacing w:val="0"/>
          <w:w w:val="100"/>
          <w:sz w:val="20"/>
          <w:szCs w:val="20"/>
          <w:lang w:val="ro-RO"/>
        </w:rPr>
        <w:t xml:space="preserve">salariata lăuză, care și-a reluat activitatea după efectuarea concediului de lăuzie, respectiv a concediului postnatal obligatoriu de 42 de zile, sau, după caz, a 63 de zile ale concediului de lăuzie, va solicita angajatorului în scris măsurile de protecție prevăzute de lege, anexând un document medical eliberat de medicul de familie/ medicul specialist, dar nu mai târziu de 6 luni de la data la care a născut;</w:t>
      </w:r>
    </w:p>
    <w:p>
      <w:pPr>
        <w:pStyle w:val="Normal"/>
        <w:widowControl/>
        <w:numPr>
          <w:ilvl w:val="0"/>
          <w:numId w:val="35"/>
        </w:numPr>
        <w:spacing w:before="0" w:after="40"/>
        <w:ind w:hanging="360" w:left="1080"/>
        <w:jc w:val="left"/>
        <w:rPr>
          <w:rStyle w:val="tli1"/>
          <w:rFonts w:ascii="Arial" w:hAnsi="Arial" w:cs="Arial"/>
          <w:b/>
          <w:sz w:val="20"/>
          <w:szCs w:val="20"/>
          <w:lang w:val="it-CH"/>
        </w:rPr>
      </w:pPr>
      <w:r>
        <w:rPr>
          <w:rFonts w:eastAsia="Arial" w:cs="Arial" w:ascii="Arial" w:hAnsi="Arial"/>
          <w:color w:val="auto"/>
          <w:spacing w:val="0"/>
          <w:w w:val="100"/>
          <w:sz w:val="20"/>
          <w:szCs w:val="20"/>
          <w:lang w:val="ro-RO"/>
        </w:rPr>
        <w:t xml:space="preserve">salariata care alăptează, la reluarea</w:t>
      </w:r>
      <w:r>
        <w:rPr>
          <w:rStyle w:val="tli1"/>
          <w:rFonts w:eastAsia="Arial" w:cs="Arial" w:ascii="Arial" w:hAnsi="Arial"/>
          <w:color w:val="auto"/>
          <w:spacing w:val="0"/>
          <w:w w:val="100"/>
          <w:sz w:val="20"/>
          <w:szCs w:val="20"/>
          <w:lang w:val="ro-RO"/>
        </w:rPr>
        <w:t xml:space="preserve"> activității după efectuarea concediului de lăuzie, va anunța angajatorul în scris cu privire la începutul și sfârșitul prezumat al perioadei de alăptare, anexând documente medicale eliberate de medicul de familie/ medicul specialist în acest sens care vor cuprinde și recomandări cu privire la capacitatea de muncă a acesteia.</w:t>
      </w:r>
    </w:p>
    <w:p>
      <w:pPr>
        <w:pStyle w:val="Normal"/>
        <w:keepNext/>
        <w:widowControl/>
        <w:numPr>
          <w:ilvl w:val="0"/>
          <w:numId w:val="34"/>
        </w:numPr>
        <w:spacing w:before="0" w:after="40"/>
        <w:jc w:val="left"/>
        <w:rPr>
          <w:rStyle w:val="tli1"/>
          <w:rFonts w:ascii="Arial" w:hAnsi="Arial" w:cs="Arial"/>
          <w:b/>
          <w:sz w:val="18"/>
          <w:szCs w:val="18"/>
          <w:lang w:val="it-CH"/>
        </w:rPr>
      </w:pPr>
      <w:r>
        <w:rPr>
          <w:rStyle w:val="tli1"/>
          <w:rFonts w:eastAsia="Arial" w:cs="Arial" w:ascii="Arial" w:hAnsi="Arial"/>
          <w:color w:val="auto"/>
          <w:spacing w:val="0"/>
          <w:w w:val="100"/>
          <w:sz w:val="20"/>
          <w:szCs w:val="20"/>
          <w:lang w:val="ro-RO"/>
        </w:rPr>
        <w:t xml:space="preserve">Salariatele gravide, lăuze sau care alăptează au următoarele obligații:</w:t>
      </w:r>
    </w:p>
    <w:p>
      <w:pPr>
        <w:pStyle w:val="Normal"/>
        <w:widowControl/>
        <w:numPr>
          <w:ilvl w:val="0"/>
          <w:numId w:val="43"/>
        </w:numPr>
        <w:spacing w:before="0" w:after="40"/>
        <w:ind w:hanging="360" w:left="1080"/>
        <w:jc w:val="left"/>
        <w:rPr>
          <w:rStyle w:val="tli1"/>
          <w:rFonts w:ascii="Arial" w:hAnsi="Arial" w:cs="Arial"/>
          <w:b/>
          <w:sz w:val="20"/>
          <w:szCs w:val="20"/>
          <w:lang w:val="it-CH"/>
        </w:rPr>
      </w:pPr>
      <w:r>
        <w:rPr>
          <w:rStyle w:val="tli1"/>
          <w:rFonts w:eastAsia="Arial" w:cs="Arial" w:ascii="Arial" w:hAnsi="Arial"/>
          <w:color w:val="auto"/>
          <w:spacing w:val="0"/>
          <w:w w:val="100"/>
          <w:sz w:val="20"/>
          <w:szCs w:val="20"/>
          <w:lang w:val="ro-RO"/>
        </w:rPr>
        <w:t xml:space="preserve">salariata mamă are obligația să efectueze, în cadrul concediului pentru sarcină și lăuzie, concediul postnatal de 42 de zile, după naștere, sau, după caz, 63 de zile ale concediului de lăuzie;</w:t>
      </w:r>
    </w:p>
    <w:p>
      <w:pPr>
        <w:pStyle w:val="Normal"/>
        <w:widowControl/>
        <w:numPr>
          <w:ilvl w:val="0"/>
          <w:numId w:val="43"/>
        </w:numPr>
        <w:spacing w:before="0" w:after="40"/>
        <w:ind w:hanging="360" w:left="1080"/>
        <w:jc w:val="left"/>
        <w:rPr>
          <w:rStyle w:val="tal1"/>
          <w:rFonts w:ascii="Arial" w:hAnsi="Arial" w:cs="Arial"/>
          <w:b/>
          <w:sz w:val="20"/>
          <w:szCs w:val="20"/>
          <w:lang w:val="it-CH"/>
        </w:rPr>
      </w:pPr>
      <w:r>
        <w:rPr>
          <w:rStyle w:val="tpa1"/>
          <w:rFonts w:eastAsia="Arial" w:cs="Arial" w:ascii="Arial" w:hAnsi="Arial"/>
          <w:color w:val="auto"/>
          <w:spacing w:val="0"/>
          <w:w w:val="100"/>
          <w:sz w:val="20"/>
          <w:szCs w:val="20"/>
          <w:lang w:val="ro-RO"/>
        </w:rPr>
        <w:t>salariatele gravide și/ sau mamele, lăuzele sau care alăptează au</w:t>
      </w:r>
      <w:r>
        <w:rPr>
          <w:rStyle w:val="tal1"/>
          <w:rFonts w:eastAsia="Arial" w:cs="Arial" w:ascii="Arial" w:hAnsi="Arial"/>
          <w:color w:val="auto"/>
          <w:spacing w:val="0"/>
          <w:w w:val="100"/>
          <w:sz w:val="20"/>
          <w:szCs w:val="20"/>
          <w:lang w:val="ro-RO"/>
        </w:rPr>
        <w:t xml:space="preserve"> obligația de a se prezenta la medicul de familie/ medicul specialist, pentru eliberarea unui document medical care să le ateste starea, care va fi prezentat în copie angajatorului, în termen de maximum 5 zile lucrătoare de la data eliberării.</w:t>
      </w:r>
    </w:p>
    <w:p>
      <w:pPr>
        <w:pStyle w:val="Normal"/>
        <w:widowControl/>
        <w:numPr>
          <w:ilvl w:val="0"/>
          <w:numId w:val="34"/>
        </w:numPr>
        <w:spacing w:before="0" w:after="40"/>
        <w:jc w:val="left"/>
        <w:rPr>
          <w:rStyle w:val="tal1"/>
          <w:rFonts w:ascii="Arial" w:hAnsi="Arial" w:cs="Arial"/>
          <w:b/>
          <w:sz w:val="18"/>
          <w:szCs w:val="18"/>
          <w:lang w:val="it-CH"/>
        </w:rPr>
      </w:pPr>
      <w:r>
        <w:rPr>
          <w:rStyle w:val="tal1"/>
          <w:rFonts w:eastAsia="Arial" w:cs="Arial" w:ascii="Arial" w:hAnsi="Arial"/>
          <w:color w:val="auto"/>
          <w:spacing w:val="0"/>
          <w:w w:val="100"/>
          <w:sz w:val="20"/>
          <w:szCs w:val="20"/>
          <w:lang w:val="ro-RO"/>
        </w:rPr>
        <w:t xml:space="preserve">Pentru toate activitățile susceptibile să prezinte un risc specific de expunere la agenți, procedee și condiții de muncă, a căror listă este prevăzută în anexa nr. 1 din O.U.G. 96/2003, angajatorul este obligat să evalueze anual și să întocmească rapoarte de evaluare, cu participarea medicului de medicina muncii, cu privire la natura, gradul și durata de expunere a angajatelor în unitate pentru a depista orice risc pentru sănătatea și securitatea angajatelor și orice efect posibil asupra sarcinii sau alăptării și pentru a stabili măsurile care trebuie luate.</w:t>
      </w:r>
    </w:p>
    <w:p>
      <w:pPr>
        <w:pStyle w:val="Normal"/>
        <w:widowControl/>
        <w:numPr>
          <w:ilvl w:val="0"/>
          <w:numId w:val="34"/>
        </w:numPr>
        <w:spacing w:before="0" w:after="40"/>
        <w:jc w:val="left"/>
        <w:rPr>
          <w:rStyle w:val="tal1"/>
          <w:rFonts w:ascii="Arial" w:hAnsi="Arial" w:cs="Arial"/>
          <w:b/>
          <w:sz w:val="18"/>
          <w:szCs w:val="18"/>
          <w:lang w:val="it-CH"/>
        </w:rPr>
      </w:pPr>
      <w:r>
        <w:rPr>
          <w:rStyle w:val="tal1"/>
          <w:rFonts w:eastAsia="Arial" w:cs="Arial" w:ascii="Arial" w:hAnsi="Arial"/>
          <w:color w:val="auto"/>
          <w:spacing w:val="0"/>
          <w:w w:val="100"/>
          <w:sz w:val="20"/>
          <w:szCs w:val="20"/>
          <w:lang w:val="ro-RO"/>
        </w:rPr>
        <w:t xml:space="preserve">Angajatorii sunt obligați ca, în termen de 5 zile lucrătoare de la data întocmirii raportului, să înmâneze o copie a acestuia către reprezentanții salariaților (dacă este cazul).</w:t>
      </w:r>
    </w:p>
    <w:p>
      <w:pPr>
        <w:pStyle w:val="Normal"/>
        <w:widowControl/>
        <w:numPr>
          <w:ilvl w:val="0"/>
          <w:numId w:val="34"/>
        </w:numPr>
        <w:spacing w:before="0" w:after="40"/>
        <w:jc w:val="left"/>
        <w:rPr>
          <w:rStyle w:val="tal1"/>
          <w:rFonts w:ascii="Arial" w:hAnsi="Arial" w:cs="Arial"/>
          <w:b/>
          <w:sz w:val="18"/>
          <w:szCs w:val="18"/>
          <w:lang w:val="it-CH"/>
        </w:rPr>
      </w:pPr>
      <w:r>
        <w:rPr>
          <w:rStyle w:val="tal1"/>
          <w:rFonts w:eastAsia="Arial" w:cs="Arial" w:ascii="Arial" w:hAnsi="Arial"/>
          <w:color w:val="auto"/>
          <w:spacing w:val="0"/>
          <w:w w:val="100"/>
          <w:sz w:val="20"/>
          <w:szCs w:val="20"/>
          <w:lang w:val="ro-RO"/>
        </w:rPr>
        <w:t xml:space="preserve">Angajatorii vor informa în scris salariatele asupra rezultatelor evaluării privind riscurile la care pot fi supuse la locurile lor de muncă, precum și asupra drepturilor care decurg din O.U.G. 96/2003 prin informarea privind protecția maternității la locul de muncă (conform modelului din Normele metodologice) în termen de cel mult 15 zile lucrătoare de la data întocmirii raportului de evaluare.</w:t>
      </w:r>
    </w:p>
    <w:p>
      <w:pPr>
        <w:pStyle w:val="Normal"/>
        <w:widowControl/>
        <w:numPr>
          <w:ilvl w:val="0"/>
          <w:numId w:val="34"/>
        </w:numPr>
        <w:spacing w:before="0" w:after="40"/>
        <w:jc w:val="left"/>
        <w:rPr>
          <w:rStyle w:val="tal1"/>
          <w:rFonts w:ascii="Arial" w:hAnsi="Arial" w:cs="Arial"/>
          <w:b/>
          <w:sz w:val="18"/>
          <w:szCs w:val="18"/>
          <w:lang w:val="it-CH"/>
        </w:rPr>
      </w:pPr>
      <w:r>
        <w:rPr>
          <w:rStyle w:val="tal1"/>
          <w:rFonts w:eastAsia="Arial" w:cs="Arial" w:ascii="Arial" w:hAnsi="Arial"/>
          <w:color w:val="auto"/>
          <w:spacing w:val="0"/>
          <w:w w:val="100"/>
          <w:sz w:val="20"/>
          <w:szCs w:val="20"/>
          <w:lang w:val="ro-RO"/>
        </w:rPr>
        <w:t xml:space="preserve">În termen de 10 zile lucrătoare de la data la care angajatorul a fost anunțat în scris de către o salariată că se află în una dintre situațiile prevăzute la art. 2 lit. c)–e) din O.U.G. 96/2003, acesta</w:t>
      </w:r>
      <w:r>
        <w:rPr>
          <w:rStyle w:val="tli1"/>
          <w:rFonts w:eastAsia="Arial" w:cs="Arial" w:ascii="Arial" w:hAnsi="Arial"/>
          <w:color w:val="auto"/>
          <w:spacing w:val="0"/>
          <w:w w:val="100"/>
          <w:sz w:val="20"/>
          <w:szCs w:val="20"/>
          <w:lang w:val="ro-RO"/>
        </w:rPr>
        <w:t xml:space="preserve"/>
      </w:r>
      <w:r>
        <w:rPr>
          <w:rStyle w:val="tal1"/>
          <w:rFonts w:eastAsia="Arial" w:cs="Arial" w:ascii="Arial" w:hAnsi="Arial"/>
          <w:color w:val="auto"/>
          <w:spacing w:val="0"/>
          <w:w w:val="100"/>
          <w:sz w:val="20"/>
          <w:szCs w:val="20"/>
          <w:lang w:val="ro-RO"/>
        </w:rPr>
        <w:t xml:space="preserve"> are obligația să înștiințeze medicul de medicina muncii, precum și inspectoratul teritorial de muncă pe a cărui rază își desfășoară activitatea.</w:t>
      </w:r>
    </w:p>
    <w:p>
      <w:pPr>
        <w:pStyle w:val="Normal"/>
        <w:keepNext/>
        <w:widowControl/>
        <w:numPr>
          <w:ilvl w:val="0"/>
          <w:numId w:val="34"/>
        </w:numPr>
        <w:spacing w:before="0" w:after="40"/>
        <w:jc w:val="left"/>
        <w:rPr>
          <w:rStyle w:val="tal1"/>
          <w:rFonts w:ascii="Arial" w:hAnsi="Arial" w:cs="Arial"/>
          <w:b/>
          <w:sz w:val="18"/>
          <w:szCs w:val="18"/>
          <w:lang w:val="it-CH"/>
        </w:rPr>
      </w:pPr>
      <w:r>
        <w:rPr>
          <w:rStyle w:val="tal1"/>
          <w:rFonts w:eastAsia="Arial" w:cs="Arial" w:ascii="Arial" w:hAnsi="Arial"/>
          <w:color w:val="auto"/>
          <w:spacing w:val="0"/>
          <w:w w:val="100"/>
          <w:sz w:val="20"/>
          <w:szCs w:val="20"/>
          <w:lang w:val="ro-RO"/>
        </w:rPr>
        <w:t>Angajatorului îi revin următoarele obligații:</w:t>
      </w:r>
    </w:p>
    <w:p>
      <w:pPr>
        <w:pStyle w:val="Normal"/>
        <w:widowControl/>
        <w:numPr>
          <w:ilvl w:val="0"/>
          <w:numId w:val="13"/>
        </w:numPr>
        <w:spacing w:before="0" w:after="40"/>
        <w:ind w:hanging="360" w:left="1080"/>
        <w:jc w:val="left"/>
        <w:rPr>
          <w:rStyle w:val="tli1"/>
          <w:rFonts w:ascii="Arial" w:hAnsi="Arial" w:cs="Arial"/>
          <w:b/>
          <w:sz w:val="20"/>
          <w:szCs w:val="20"/>
          <w:lang w:val="it-CH"/>
        </w:rPr>
      </w:pPr>
      <w:r>
        <w:rPr>
          <w:rStyle w:val="tal1"/>
          <w:rFonts w:eastAsia="Arial" w:cs="Arial" w:ascii="Arial" w:hAnsi="Arial"/>
          <w:color w:val="auto"/>
          <w:spacing w:val="0"/>
          <w:w w:val="100"/>
          <w:sz w:val="20"/>
          <w:szCs w:val="20"/>
          <w:lang w:val="ro-RO"/>
        </w:rPr>
        <w:t xml:space="preserve">să prevină expunerea salariatelor gravide, lăuze sau care alăptează la riscuri</w:t>
      </w:r>
      <w:r>
        <w:rPr>
          <w:rStyle w:val="tli1"/>
          <w:rFonts w:eastAsia="Arial" w:cs="Arial" w:ascii="Arial" w:hAnsi="Arial"/>
          <w:color w:val="auto"/>
          <w:spacing w:val="0"/>
          <w:w w:val="100"/>
          <w:sz w:val="20"/>
          <w:szCs w:val="20"/>
          <w:lang w:val="ro-RO"/>
        </w:rPr>
        <w:t xml:space="preserve"/>
      </w:r>
      <w:r>
        <w:rPr>
          <w:rStyle w:val="tal1"/>
          <w:rFonts w:eastAsia="Arial" w:cs="Arial" w:ascii="Arial" w:hAnsi="Arial"/>
          <w:color w:val="auto"/>
          <w:spacing w:val="0"/>
          <w:w w:val="100"/>
          <w:sz w:val="20"/>
          <w:szCs w:val="20"/>
          <w:lang w:val="ro-RO"/>
        </w:rPr>
        <w:t xml:space="preserve"/>
      </w:r>
      <w:r>
        <w:rPr>
          <w:rStyle w:val="tli1"/>
          <w:rFonts w:eastAsia="Arial" w:cs="Arial" w:ascii="Arial" w:hAnsi="Arial"/>
          <w:color w:val="auto"/>
          <w:spacing w:val="0"/>
          <w:w w:val="100"/>
          <w:sz w:val="20"/>
          <w:szCs w:val="20"/>
          <w:lang w:val="ro-RO"/>
        </w:rPr>
        <w:t xml:space="preserve"> ce le pot afecta sănătatea și securitatea, în situația în care rezultatele evaluării evidențiază astfel de riscuri;</w:t>
      </w:r>
    </w:p>
    <w:p>
      <w:pPr>
        <w:pStyle w:val="Normal"/>
        <w:widowControl/>
        <w:numPr>
          <w:ilvl w:val="0"/>
          <w:numId w:val="13"/>
        </w:numPr>
        <w:spacing w:before="0" w:after="40"/>
        <w:ind w:hanging="360" w:left="1080"/>
        <w:jc w:val="left"/>
        <w:rPr>
          <w:rStyle w:val="tli1"/>
          <w:rFonts w:ascii="Arial" w:hAnsi="Arial" w:cs="Arial"/>
          <w:b/>
          <w:sz w:val="20"/>
          <w:szCs w:val="20"/>
          <w:lang w:val="it-CH"/>
        </w:rPr>
      </w:pPr>
      <w:r>
        <w:rPr>
          <w:rStyle w:val="tli1"/>
          <w:rFonts w:eastAsia="Arial" w:cs="Arial" w:ascii="Arial" w:hAnsi="Arial"/>
          <w:color w:val="auto"/>
          <w:spacing w:val="0"/>
          <w:w w:val="100"/>
          <w:sz w:val="20"/>
          <w:szCs w:val="20"/>
          <w:lang w:val="ro-RO"/>
        </w:rPr>
        <w:t>să nu constrângă salariatele să efectueze o muncă dăunătoare sănătății sau stării lor de graviditate ori copilului nou-născut, după caz;</w:t>
      </w:r>
    </w:p>
    <w:p>
      <w:pPr>
        <w:pStyle w:val="Normal"/>
        <w:widowControl/>
        <w:numPr>
          <w:ilvl w:val="0"/>
          <w:numId w:val="13"/>
        </w:numPr>
        <w:spacing w:before="0" w:after="40"/>
        <w:ind w:hanging="360" w:left="1080"/>
        <w:jc w:val="left"/>
        <w:rPr>
          <w:rStyle w:val="tpa1"/>
          <w:rFonts w:ascii="Arial" w:hAnsi="Arial" w:cs="Arial"/>
          <w:sz w:val="20"/>
          <w:szCs w:val="20"/>
          <w:lang w:val="it-CH"/>
        </w:rPr>
      </w:pPr>
      <w:r>
        <w:rPr>
          <w:rStyle w:val="tpa1"/>
          <w:rFonts w:eastAsia="Arial" w:cs="Arial" w:ascii="Arial" w:hAnsi="Arial"/>
          <w:color w:val="auto"/>
          <w:spacing w:val="0"/>
          <w:w w:val="100"/>
          <w:sz w:val="20"/>
          <w:szCs w:val="20"/>
          <w:lang w:val="ro-RO"/>
        </w:rPr>
        <w:t>să păstreze confidențialitatea asupra stării de graviditate a salariatei și să nu anunțe alți angajați decât cu acordul scris al acesteia și doar în interesul bunei desfășurări a procesului de muncă, când starea de graviditate nu este vizibilă;</w:t>
      </w:r>
    </w:p>
    <w:p>
      <w:pPr>
        <w:pStyle w:val="Normal"/>
        <w:widowControl/>
        <w:numPr>
          <w:ilvl w:val="0"/>
          <w:numId w:val="13"/>
        </w:numPr>
        <w:spacing w:before="0" w:after="40"/>
        <w:ind w:hanging="360" w:left="1080"/>
        <w:jc w:val="left"/>
        <w:rPr>
          <w:rStyle w:val="tal1"/>
          <w:rFonts w:ascii="Arial" w:hAnsi="Arial" w:cs="Arial"/>
          <w:sz w:val="20"/>
          <w:szCs w:val="20"/>
          <w:lang w:val="it-CH"/>
        </w:rPr>
      </w:pPr>
      <w:r>
        <w:rPr>
          <w:rStyle w:val="tpa1"/>
          <w:rFonts w:eastAsia="Arial" w:cs="Arial" w:ascii="Arial" w:hAnsi="Arial"/>
          <w:color w:val="auto"/>
          <w:spacing w:val="0"/>
          <w:w w:val="100"/>
          <w:sz w:val="20"/>
          <w:szCs w:val="20"/>
          <w:lang w:val="ro-RO"/>
        </w:rPr>
        <w:t xml:space="preserve">să modifice locul de muncă al salariatelor gravide, lăuze sau care alăptează, care își</w:t>
      </w:r>
      <w:r>
        <w:rPr>
          <w:rStyle w:val="tal1"/>
          <w:rFonts w:eastAsia="Arial" w:cs="Arial" w:ascii="Arial" w:hAnsi="Arial"/>
          <w:color w:val="auto"/>
          <w:spacing w:val="0"/>
          <w:w w:val="100"/>
          <w:sz w:val="20"/>
          <w:szCs w:val="20"/>
          <w:lang w:val="ro-RO"/>
        </w:rPr>
        <w:t xml:space="preserve"/>
      </w:r>
      <w:r>
        <w:rPr>
          <w:rStyle w:val="tli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
      </w:r>
      <w:r>
        <w:rPr>
          <w:rStyle w:val="tal1"/>
          <w:rFonts w:eastAsia="Arial" w:cs="Arial" w:ascii="Arial" w:hAnsi="Arial"/>
          <w:color w:val="auto"/>
          <w:spacing w:val="0"/>
          <w:w w:val="100"/>
          <w:sz w:val="20"/>
          <w:szCs w:val="20"/>
          <w:lang w:val="ro-RO"/>
        </w:rPr>
        <w:t xml:space="preserve"> desfășoară activitatea numai în poziția ortostatică sau în poziția așezat, astfel încât să li se asigure, la intervale regulate de timp, pauze și amenajări pentru repaus în poziție șezândă sau, respectiv, pentru mișcare, la recomandarea medicului de medicina muncii;</w:t>
      </w:r>
    </w:p>
    <w:p>
      <w:pPr>
        <w:pStyle w:val="Normal"/>
        <w:widowControl/>
        <w:numPr>
          <w:ilvl w:val="0"/>
          <w:numId w:val="13"/>
        </w:numPr>
        <w:spacing w:before="0" w:after="40"/>
        <w:ind w:hanging="360" w:left="1080"/>
        <w:jc w:val="left"/>
        <w:rPr>
          <w:rStyle w:val="tal1"/>
          <w:rFonts w:ascii="Arial" w:hAnsi="Arial" w:cs="Arial"/>
          <w:sz w:val="20"/>
          <w:szCs w:val="20"/>
          <w:lang w:val="fr-FR"/>
        </w:rPr>
      </w:pPr>
      <w:r>
        <w:rPr>
          <w:rStyle w:val="tal1"/>
          <w:rFonts w:eastAsia="Arial" w:cs="Arial" w:ascii="Arial" w:hAnsi="Arial"/>
          <w:color w:val="auto"/>
          <w:spacing w:val="0"/>
          <w:w w:val="100"/>
          <w:sz w:val="20"/>
          <w:szCs w:val="20"/>
          <w:lang w:val="ro-RO"/>
        </w:rPr>
        <w:t>să acorde salariatelor gravide dispensă pentru consultații prenatale, constând în ore libere plătite salariatei, în cazul în care investigațiile medicale se pot efectua numai în timpul programului de lucru;</w:t>
      </w:r>
    </w:p>
    <w:p>
      <w:pPr>
        <w:pStyle w:val="Normal"/>
        <w:widowControl/>
        <w:numPr>
          <w:ilvl w:val="0"/>
          <w:numId w:val="13"/>
        </w:numPr>
        <w:spacing w:before="0" w:after="40"/>
        <w:ind w:hanging="360" w:left="1080"/>
        <w:jc w:val="left"/>
        <w:rPr>
          <w:rStyle w:val="tal1"/>
          <w:rFonts w:ascii="Arial" w:hAnsi="Arial" w:cs="Arial"/>
          <w:sz w:val="20"/>
          <w:szCs w:val="20"/>
          <w:lang w:val="fr-FR"/>
        </w:rPr>
      </w:pPr>
      <w:r>
        <w:rPr>
          <w:rStyle w:val="tal1"/>
          <w:rFonts w:eastAsia="Arial" w:cs="Arial" w:ascii="Arial" w:hAnsi="Arial"/>
          <w:color w:val="auto"/>
          <w:spacing w:val="0"/>
          <w:w w:val="100"/>
          <w:sz w:val="20"/>
          <w:szCs w:val="20"/>
          <w:lang w:val="ro-RO"/>
        </w:rPr>
        <w:t>să acorde salariatelor care alăptează pauze de alăptare de câte o oră fiecare, în timpul programului de lucru/ să reducă durata timpului de muncă cu 2 ore zilnic, fără diminuarea drepturilor salariale;</w:t>
      </w:r>
    </w:p>
    <w:p>
      <w:pPr>
        <w:pStyle w:val="Normal"/>
        <w:widowControl/>
        <w:numPr>
          <w:ilvl w:val="0"/>
          <w:numId w:val="13"/>
        </w:numPr>
        <w:spacing w:before="0" w:after="40"/>
        <w:ind w:hanging="360" w:left="1080"/>
        <w:jc w:val="left"/>
        <w:rPr>
          <w:rStyle w:val="tpa1"/>
          <w:rFonts w:ascii="Arial" w:hAnsi="Arial" w:cs="Arial"/>
          <w:sz w:val="20"/>
          <w:szCs w:val="20"/>
          <w:lang w:val="fr-FR"/>
        </w:rPr>
      </w:pPr>
      <w:r>
        <w:rPr>
          <w:rStyle w:val="tal1"/>
          <w:rFonts w:eastAsia="Arial" w:cs="Arial" w:ascii="Arial" w:hAnsi="Arial"/>
          <w:color w:val="auto"/>
          <w:spacing w:val="0"/>
          <w:w w:val="100"/>
          <w:sz w:val="20"/>
          <w:szCs w:val="20"/>
          <w:lang w:val="ro-RO"/>
        </w:rPr>
        <w:t xml:space="preserve">să transfere la un alt loc de muncă, cu menținerea salariului de bază brut lunar, salariatele gravide, lăuze sau care alăptează, care desfășoară</w:t>
      </w:r>
      <w:r>
        <w:rPr>
          <w:rStyle w:val="tli1"/>
          <w:rFonts w:eastAsia="Arial" w:cs="Arial" w:ascii="Arial" w:hAnsi="Arial"/>
          <w:color w:val="auto"/>
          <w:spacing w:val="0"/>
          <w:w w:val="100"/>
          <w:sz w:val="20"/>
          <w:szCs w:val="20"/>
          <w:lang w:val="ro-RO"/>
        </w:rPr>
        <w:t xml:space="preserve"/>
      </w:r>
      <w:r>
        <w:rPr>
          <w:rStyle w:val="tal1"/>
          <w:rFonts w:eastAsia="Arial" w:cs="Arial" w:ascii="Arial" w:hAnsi="Arial"/>
          <w:color w:val="auto"/>
          <w:spacing w:val="0"/>
          <w:w w:val="100"/>
          <w:sz w:val="20"/>
          <w:szCs w:val="20"/>
          <w:lang w:val="ro-RO"/>
        </w:rPr>
        <w:t xml:space="preserve"> în mod curent muncă cu caracter insalubru sau greu de suportat.</w:t>
      </w:r>
    </w:p>
    <w:p>
      <w:pPr>
        <w:pStyle w:val="Normal"/>
        <w:widowControl/>
        <w:numPr>
          <w:ilvl w:val="0"/>
          <w:numId w:val="34"/>
        </w:numPr>
        <w:spacing w:before="0" w:after="40"/>
        <w:jc w:val="left"/>
        <w:rPr>
          <w:rStyle w:val="tpa1"/>
          <w:rFonts w:ascii="Arial" w:hAnsi="Arial" w:cs="Arial"/>
          <w:sz w:val="18"/>
          <w:szCs w:val="18"/>
          <w:lang w:val="fr-FR"/>
        </w:rPr>
      </w:pPr>
      <w:r>
        <w:rPr>
          <w:rStyle w:val="tpa1"/>
          <w:rFonts w:eastAsia="Arial" w:cs="Arial" w:ascii="Arial" w:hAnsi="Arial"/>
          <w:color w:val="auto"/>
          <w:spacing w:val="0"/>
          <w:w w:val="100"/>
          <w:sz w:val="20"/>
          <w:szCs w:val="20"/>
          <w:lang w:val="ro-RO"/>
        </w:rPr>
        <w:t xml:space="preserve">Pentru salariatele gravide, lăuze sau care alăptează, care desfășoară</w:t>
      </w:r>
      <w:r>
        <w:rPr>
          <w:rStyle w:val="tal1"/>
          <w:rFonts w:eastAsia="Arial" w:cs="Arial" w:ascii="Arial" w:hAnsi="Arial"/>
          <w:color w:val="auto"/>
          <w:spacing w:val="0"/>
          <w:w w:val="100"/>
          <w:sz w:val="20"/>
          <w:szCs w:val="20"/>
          <w:lang w:val="ro-RO"/>
        </w:rPr>
        <w:t xml:space="preserve"/>
      </w:r>
      <w:r>
        <w:rPr>
          <w:rStyle w:val="tli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 activitate care </w:t>
      </w:r>
      <w:r>
        <w:rPr>
          <w:rFonts w:eastAsia="Arial" w:cs="Arial" w:ascii="Arial" w:hAnsi="Arial"/>
          <w:color w:val="auto"/>
          <w:spacing w:val="0"/>
          <w:w w:val="100"/>
          <w:sz w:val="20"/>
          <w:szCs w:val="20"/>
          <w:lang w:val="ro-RO"/>
        </w:rPr>
        <w:t xml:space="preserve">prezintă riscuri pentru sănătate sau securitate ori cu repercusiuni asupra sarcinii și alăptării, angajatorul trebuie </w:t>
      </w:r>
      <w:r>
        <w:rPr>
          <w:rStyle w:val="tpa1"/>
          <w:rFonts w:eastAsia="Arial" w:cs="Arial" w:ascii="Arial" w:hAnsi="Arial"/>
          <w:color w:val="auto"/>
          <w:spacing w:val="0"/>
          <w:w w:val="100"/>
          <w:sz w:val="20"/>
          <w:szCs w:val="20"/>
          <w:lang w:val="ro-RO"/>
        </w:rPr>
        <w:t xml:space="preserve">să modifice în mod corespunzător condițiile și/ sau orarul de muncă ori să le repartizeze la alt loc de muncă, conform recomandării medicului de medicina muncii sau a medicului de familie, cu menținerea veniturilor salariale.</w:t>
      </w:r>
    </w:p>
    <w:p>
      <w:pPr>
        <w:pStyle w:val="Normal"/>
        <w:keepNext/>
        <w:widowControl/>
        <w:numPr>
          <w:ilvl w:val="0"/>
          <w:numId w:val="34"/>
        </w:numPr>
        <w:spacing w:before="0" w:after="40"/>
        <w:jc w:val="left"/>
        <w:rPr>
          <w:rFonts w:ascii="Arial" w:hAnsi="Arial" w:cs="Arial"/>
          <w:sz w:val="18"/>
          <w:szCs w:val="18"/>
          <w:lang w:val="fr-FR"/>
        </w:rPr>
      </w:pPr>
      <w:r>
        <w:rPr>
          <w:rStyle w:val="tal1"/>
          <w:rFonts w:eastAsia="Arial" w:cs="Arial" w:ascii="Arial" w:hAnsi="Arial"/>
          <w:color w:val="auto"/>
          <w:spacing w:val="0"/>
          <w:w w:val="100"/>
          <w:sz w:val="20"/>
          <w:szCs w:val="20"/>
          <w:lang w:val="ro-RO"/>
        </w:rPr>
        <w:t xml:space="preserve">În cazul în care angajatorul, din motive justificate în mod obiectiv, nu poate să îndeplinească obligația prevăzută la art. 9 alin. (2) din O.U.G. 96/2003 (punctul 9 de mai sus), salariatele gravide, lăuze sau care alăptează au dreptul</w:t>
      </w:r>
      <w:r>
        <w:rPr>
          <w:rStyle w:val="tli1"/>
          <w:rFonts w:eastAsia="Arial" w:cs="Arial" w:ascii="Arial" w:hAnsi="Arial"/>
          <w:color w:val="auto"/>
          <w:spacing w:val="0"/>
          <w:w w:val="100"/>
          <w:sz w:val="20"/>
          <w:szCs w:val="20"/>
          <w:lang w:val="ro-RO"/>
        </w:rPr>
        <w:t xml:space="preserve"/>
      </w:r>
      <w:r>
        <w:rPr>
          <w:rStyle w:val="tal1"/>
          <w:rFonts w:eastAsia="Arial" w:cs="Arial" w:ascii="Arial" w:hAnsi="Arial"/>
          <w:color w:val="auto"/>
          <w:spacing w:val="0"/>
          <w:w w:val="100"/>
          <w:sz w:val="20"/>
          <w:szCs w:val="20"/>
          <w:lang w:val="ro-RO"/>
        </w:rPr>
        <w:t xml:space="preserve"> la concediu de risc maternal, numai dacă solicitarea este însoțită de documentul medical, astfel:</w:t>
      </w:r>
    </w:p>
    <w:p>
      <w:pPr>
        <w:pStyle w:val="Normal"/>
        <w:widowControl/>
        <w:numPr>
          <w:ilvl w:val="0"/>
          <w:numId w:val="1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integral sau fracționat, până în a 63-a zi anterioară datei estimate a nașterii copilului, respectiv datei intrării în concediul de maternitate;</w:t>
      </w:r>
    </w:p>
    <w:p>
      <w:pPr>
        <w:pStyle w:val="Normal"/>
        <w:widowControl/>
        <w:numPr>
          <w:ilvl w:val="0"/>
          <w:numId w:val="1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integral sau fracționat, după expirarea concediului postnatal obligatoriu și, dacă este cazul, până la data intrării în concediu pentru creșterea copilului în vârstă de până la 2 ani sau în cazul copilului cu handicap, până la 3 ani;</w:t>
      </w:r>
    </w:p>
    <w:p>
      <w:pPr>
        <w:pStyle w:val="Normal"/>
        <w:widowControl/>
        <w:numPr>
          <w:ilvl w:val="0"/>
          <w:numId w:val="12"/>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integral sau fracționat, înainte sau după nașterea copilului, pentru salariata care nu îndeplinește condițiile pentru a beneficia de concediul de maternitate.</w:t>
      </w:r>
    </w:p>
    <w:p>
      <w:pPr>
        <w:pStyle w:val="Normal"/>
        <w:widowControl/>
        <w:numPr>
          <w:ilvl w:val="0"/>
          <w:numId w:val="34"/>
        </w:numPr>
        <w:spacing w:before="0" w:after="40"/>
        <w:jc w:val="left"/>
        <w:rPr>
          <w:rFonts w:ascii="Arial" w:hAnsi="Arial" w:cs="Arial"/>
          <w:sz w:val="18"/>
          <w:szCs w:val="18"/>
          <w:lang w:val="it-IT"/>
        </w:rPr>
      </w:pPr>
      <w:r>
        <w:rPr>
          <w:rStyle w:val="tal1"/>
          <w:rFonts w:eastAsia="Arial" w:cs="Arial" w:ascii="Arial" w:hAnsi="Arial"/>
          <w:color w:val="auto"/>
          <w:spacing w:val="0"/>
          <w:w w:val="100"/>
          <w:sz w:val="20"/>
          <w:szCs w:val="20"/>
          <w:lang w:val="ro-RO"/>
        </w:rPr>
        <w:t xml:space="preserve">Concediul de risc maternal se poate acorda, în întregime sau fracționat, pe o perioadă ce nu poate depăși 120 de zile calendaristice, de către medicul de familie sau de medicul specialist, care va elibera un certificat medical în acest sens, dar nu poate fi acordat simultan cu alte concedii prevăzute de O.U.G. 158/2005, aprobată cu modificări și completări prin Legea 399/2006, cu modificările și completările ulterioare.</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134" w:gutter="0" w:header="680" w:top="2629"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Metro">
    <w:altName w:val="Calibri"/>
    <w:charset w:val="01"/>
    <w:family w:val="roman"/>
    <w:pitch w:val="variable"/>
  </w:font>
  <w:font w:name="TimesNewRomanPSMT">
    <w:altName w:val="Times New Roman"/>
    <w:charset w:val="01"/>
    <w:family w:val="roman"/>
    <w:pitch w:val="variable"/>
  </w:font>
  <w:font w:name="Wingdings">
    <w:charset w:val="02"/>
    <w:family w:val="roman"/>
    <w:pitch w:val="variable"/>
  </w:font>
  <w:font w:name="Courier New">
    <w:charset w:val="01"/>
    <w:family w:val="roman"/>
    <w:pitch w:val="variable"/>
  </w:font>
  <w:font w:name="Arial Unicode MS">
    <w:charset w:val="01"/>
    <w:family w:val="swiss"/>
    <w:pitch w:val="variable"/>
  </w:font>
  <w:font w:name="Century Gothic">
    <w:charset w:val="01"/>
    <w:family w:val="swiss"/>
    <w:pitch w:val="variable"/>
  </w:font>
  <w:font w:name="Segoe U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Eurostyle">
    <w:altName w:val="Arial Narrow"/>
    <w:charset w:val="01"/>
    <w:family w:val="roman"/>
    <w:pitch w:val="variable"/>
  </w:font>
  <w:font w:name="TimesRomanR">
    <w:altName w:val="Times New Roman"/>
    <w:charset w:val="01"/>
    <w:family w:val="roman"/>
    <w:pitch w:val="variable"/>
  </w:font>
  <w:font w:name="HiddenHorzOCl">
    <w:altName w:val="Arial"/>
    <w:charset w:val="01"/>
    <w:family w:val="roman"/>
    <w:pitch w:val="variable"/>
  </w:font>
  <w:font w:name="Arial">
    <w:charset w:val="01"/>
    <w:family w:val="roman"/>
    <w:pitch w:val="variable"/>
  </w:font>
  <w:font w:name="Verdana">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 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Material de informare a angajatorului cu privire la prevederile legislative din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 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Material de informare a angajatorului cu privire la prevederile legislative din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 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Material de informare a angajatorului cu privire la prevederile legislative din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b/>
        <w:i w:val="false"/>
        <w:sz w:val="20"/>
        <w:szCs w:val="20"/>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lowerLetter"/>
      <w:lvlText w:val="%4)"/>
      <w:lvlJc w:val="left"/>
      <w:pPr>
        <w:tabs>
          <w:tab w:val="num" w:pos="720"/>
        </w:tabs>
        <w:ind w:left="720" w:hanging="360"/>
      </w:pPr>
      <w:rPr>
        <w:b/>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Art. %1."/>
      <w:lvlJc w:val="left"/>
      <w:pPr>
        <w:tabs>
          <w:tab w:val="num" w:pos="1080"/>
        </w:tabs>
        <w:ind w:left="0" w:hanging="0"/>
      </w:pPr>
      <w:rPr>
        <w:rFonts w:ascii="Arial" w:hAnsi="Arial" w:cs="Arial"/>
        <w:b/>
        <w:i w:val="false"/>
        <w:sz w:val="20"/>
        <w:szCs w:val="20"/>
      </w:rPr>
    </w:lvl>
    <w:lvl w:ilvl="1">
      <w:start w:val="1"/>
      <w:numFmt w:val="decimal"/>
      <w:lvlText w:val="%2."/>
      <w:lvlJc w:val="left"/>
      <w:pPr>
        <w:tabs>
          <w:tab w:val="num" w:pos="720"/>
        </w:tabs>
        <w:ind w:left="720" w:hanging="360"/>
      </w:pPr>
      <w:rPr>
        <w:b/>
        <w:i w:val="false"/>
        <w:sz w:val="20"/>
        <w:szCs w:val="20"/>
      </w:rPr>
    </w:lvl>
    <w:lvl w:ilvl="2">
      <w:start w:val="1"/>
      <w:numFmt w:val="lowerLetter"/>
      <w:lvlText w:val="%3)"/>
      <w:lvlJc w:val="left"/>
      <w:pPr>
        <w:tabs>
          <w:tab w:val="num" w:pos="720"/>
        </w:tabs>
        <w:ind w:left="720" w:hanging="360"/>
      </w:pPr>
      <w:rPr>
        <w:b/>
        <w:i w:val="false"/>
        <w:sz w:val="20"/>
        <w:szCs w:val="20"/>
      </w:rPr>
    </w:lvl>
    <w:lvl w:ilvl="3">
      <w:start w:val="1"/>
      <w:numFmt w:val="lowerLetter"/>
      <w:lvlText w:val="%4)"/>
      <w:lvlJc w:val="left"/>
      <w:pPr>
        <w:tabs>
          <w:tab w:val="num" w:pos="720"/>
        </w:tabs>
        <w:ind w:left="720" w:hanging="360"/>
      </w:pPr>
      <w:rPr>
        <w:b/>
        <w:i w:val="false"/>
        <w:sz w:val="20"/>
        <w:szCs w:val="20"/>
      </w:rPr>
    </w:lvl>
    <w:lvl w:ilvl="4">
      <w:start w:val="1"/>
      <w:numFmt w:val="lowerLetter"/>
      <w:lvlText w:val="%5."/>
      <w:lvlJc w:val="left"/>
      <w:pPr>
        <w:tabs>
          <w:tab w:val="num" w:pos="3528"/>
        </w:tabs>
        <w:ind w:left="3528" w:hanging="360"/>
      </w:pPr>
      <w:rPr/>
    </w:lvl>
    <w:lvl w:ilvl="5">
      <w:start w:val="1"/>
      <w:numFmt w:val="lowerRoman"/>
      <w:lvlText w:val="%6."/>
      <w:lvlJc w:val="right"/>
      <w:pPr>
        <w:tabs>
          <w:tab w:val="num" w:pos="4248"/>
        </w:tabs>
        <w:ind w:left="4248" w:hanging="180"/>
      </w:pPr>
      <w:rPr/>
    </w:lvl>
    <w:lvl w:ilvl="6">
      <w:start w:val="1"/>
      <w:numFmt w:val="decimal"/>
      <w:lvlText w:val="%7."/>
      <w:lvlJc w:val="left"/>
      <w:pPr>
        <w:tabs>
          <w:tab w:val="num" w:pos="4968"/>
        </w:tabs>
        <w:ind w:left="4968" w:hanging="360"/>
      </w:pPr>
      <w:rPr/>
    </w:lvl>
    <w:lvl w:ilvl="7">
      <w:start w:val="1"/>
      <w:numFmt w:val="lowerLetter"/>
      <w:lvlText w:val="%8."/>
      <w:lvlJc w:val="left"/>
      <w:pPr>
        <w:tabs>
          <w:tab w:val="num" w:pos="5688"/>
        </w:tabs>
        <w:ind w:left="5688" w:hanging="360"/>
      </w:pPr>
      <w:rPr/>
    </w:lvl>
    <w:lvl w:ilvl="8">
      <w:start w:val="1"/>
      <w:numFmt w:val="lowerRoman"/>
      <w:lvlText w:val="%9."/>
      <w:lvlJc w:val="right"/>
      <w:pPr>
        <w:tabs>
          <w:tab w:val="num" w:pos="6408"/>
        </w:tabs>
        <w:ind w:left="6408" w:hanging="180"/>
      </w:pPr>
      <w:rPr/>
    </w:lvl>
  </w:abstractNum>
  <w:abstractNum w:abstractNumId="10">
    <w:lvl w:ilvl="0">
      <w:start w:val="1"/>
      <w:numFmt w:val="lowerLetter"/>
      <w:lvlText w:val="%1)"/>
      <w:lvlJc w:val="left"/>
      <w:pPr>
        <w:tabs>
          <w:tab w:val="num" w:pos="720"/>
        </w:tabs>
        <w:ind w:left="720" w:hanging="360"/>
      </w:pPr>
      <w:rPr>
        <w:b/>
      </w:rPr>
    </w:lvl>
    <w:lvl w:ilvl="1">
      <w:start w:val="1"/>
      <w:numFmt w:val="bullet"/>
      <w:lvlText w:val=""/>
      <w:lvlJc w:val="left"/>
      <w:pPr>
        <w:tabs>
          <w:tab w:val="num" w:pos="720"/>
        </w:tabs>
        <w:ind w:left="720" w:hanging="360"/>
      </w:pPr>
      <w:rPr>
        <w:rFonts w:ascii="Symbol" w:hAnsi="Symbol" w:cs="Symbol" w:hint="default"/>
        <w:b w:val="false"/>
        <w:sz w:val="20"/>
        <w:szCs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lowerLetter"/>
      <w:lvlText w:val="%1)"/>
      <w:lvlJc w:val="left"/>
      <w:pPr>
        <w:tabs>
          <w:tab w:val="num" w:pos="720"/>
        </w:tabs>
        <w:ind w:left="720" w:hanging="360"/>
      </w:pPr>
      <w:rPr>
        <w:rFonts w:ascii="Arial" w:hAnsi="Arial" w:eastAsia="Times New Roman" w:cs="Arial"/>
        <w:b/>
        <w:i w:val="false"/>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720"/>
        </w:tabs>
        <w:ind w:left="720" w:hanging="360"/>
      </w:pPr>
      <w:rPr>
        <w:b/>
        <w:i w:val="false"/>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lowerLetter"/>
      <w:lvlText w:val="%1)"/>
      <w:lvlJc w:val="left"/>
      <w:pPr>
        <w:tabs>
          <w:tab w:val="num" w:pos="720"/>
        </w:tabs>
        <w:ind w:left="720" w:hanging="360"/>
      </w:pPr>
      <w:rPr>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720"/>
        </w:tabs>
        <w:ind w:left="720" w:hanging="360"/>
      </w:pPr>
      <w:rPr>
        <w:b/>
        <w:i w:val="false"/>
        <w:sz w:val="20"/>
        <w:szCs w:val="20"/>
        <w:lang w:val="ro-R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Art. %1."/>
      <w:lvlJc w:val="left"/>
      <w:pPr>
        <w:tabs>
          <w:tab w:val="num" w:pos="1320"/>
        </w:tabs>
        <w:ind w:left="240" w:hanging="0"/>
      </w:pPr>
      <w:rPr>
        <w:rFonts w:ascii="Arial" w:hAnsi="Arial" w:cs="Arial"/>
        <w:b/>
        <w:i w:val="false"/>
        <w:sz w:val="18"/>
        <w:szCs w:val="18"/>
        <w:lang w:val="it-IT"/>
      </w:rPr>
    </w:lvl>
    <w:lvl w:ilvl="1">
      <w:start w:val="1"/>
      <w:numFmt w:val="decimal"/>
      <w:lvlText w:val="Art. %2."/>
      <w:lvlJc w:val="left"/>
      <w:pPr>
        <w:tabs>
          <w:tab w:val="num" w:pos="2160"/>
        </w:tabs>
        <w:ind w:left="1080" w:hanging="0"/>
      </w:pPr>
      <w:rPr>
        <w:rFonts w:ascii="Arial" w:hAnsi="Arial" w:cs="Arial"/>
        <w:b/>
        <w:i w:val="false"/>
        <w:sz w:val="20"/>
        <w:szCs w:val="20"/>
        <w:lang w:val="es-ES_tradnl"/>
      </w:rPr>
    </w:lvl>
    <w:lvl w:ilvl="2">
      <w:start w:val="1"/>
      <w:numFmt w:val="lowerLetter"/>
      <w:lvlText w:val="%3)"/>
      <w:lvlJc w:val="left"/>
      <w:pPr>
        <w:tabs>
          <w:tab w:val="num" w:pos="720"/>
        </w:tabs>
        <w:ind w:left="720" w:hanging="360"/>
      </w:pPr>
      <w:rPr>
        <w:rFonts w:ascii="Arial" w:hAnsi="Arial" w:cs="Arial"/>
        <w:b/>
        <w:i w:val="false"/>
        <w:sz w:val="20"/>
        <w:szCs w:val="20"/>
        <w:lang w:val="it-IT"/>
      </w:rPr>
    </w:lvl>
    <w:lvl w:ilvl="3">
      <w:start w:val="1"/>
      <w:numFmt w:val="decimal"/>
      <w:lvlText w:val="%4."/>
      <w:lvlJc w:val="left"/>
      <w:pPr>
        <w:tabs>
          <w:tab w:val="num" w:pos="720"/>
        </w:tabs>
        <w:ind w:left="720" w:hanging="360"/>
      </w:pPr>
      <w:rPr>
        <w:b/>
        <w:i w:val="false"/>
        <w:sz w:val="20"/>
        <w:szCs w:val="20"/>
        <w:lang w:val="ro-RO"/>
      </w:rPr>
    </w:lvl>
    <w:lvl w:ilvl="4">
      <w:start w:val="1"/>
      <w:numFmt w:val="decimal"/>
      <w:lvlText w:val="(%5)"/>
      <w:lvlJc w:val="left"/>
      <w:pPr>
        <w:tabs>
          <w:tab w:val="num" w:pos="3600"/>
        </w:tabs>
        <w:ind w:left="3600" w:hanging="360"/>
      </w:pPr>
      <w:rPr>
        <w:b/>
      </w:rPr>
    </w:lvl>
    <w:lvl w:ilvl="5">
      <w:start w:val="1"/>
      <w:numFmt w:val="upperLetter"/>
      <w:lvlText w:val="%6)"/>
      <w:lvlJc w:val="left"/>
      <w:pPr>
        <w:tabs>
          <w:tab w:val="num" w:pos="4500"/>
        </w:tabs>
        <w:ind w:left="4500" w:hanging="360"/>
      </w:pPr>
      <w:rPr>
        <w:b/>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2">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720"/>
        </w:tabs>
        <w:ind w:left="720" w:hanging="360"/>
      </w:pPr>
      <w:rPr>
        <w:b/>
        <w:i w:val="false"/>
        <w:sz w:val="20"/>
        <w:szCs w:val="20"/>
        <w:lang w:val="ro-R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lowerLetter"/>
      <w:lvlText w:val="%1)"/>
      <w:lvlJc w:val="left"/>
      <w:pPr>
        <w:tabs>
          <w:tab w:val="num" w:pos="720"/>
        </w:tabs>
        <w:ind w:left="720" w:hanging="360"/>
      </w:pPr>
      <w:rPr>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720"/>
        </w:tabs>
        <w:ind w:left="720" w:hanging="360"/>
      </w:pPr>
      <w:rPr>
        <w:b/>
        <w:i w:val="false"/>
        <w:sz w:val="20"/>
        <w:szCs w:val="20"/>
        <w:lang w:val="ro-R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lowerLetter"/>
      <w:lvlText w:val="%1)"/>
      <w:lvlJc w:val="left"/>
      <w:pPr>
        <w:tabs>
          <w:tab w:val="num" w:pos="720"/>
        </w:tabs>
        <w:ind w:left="720" w:hanging="360"/>
      </w:pPr>
      <w:rPr>
        <w:rFonts w:ascii="Arial" w:hAnsi="Arial" w:eastAsia="Times New Roman" w:cs="Arial"/>
        <w:b/>
      </w:rPr>
    </w:lvl>
    <w:lvl w:ilvl="1">
      <w:start w:val="1"/>
      <w:numFmt w:val="bullet"/>
      <w:lvlText w:val=""/>
      <w:lvlJc w:val="left"/>
      <w:pPr>
        <w:tabs>
          <w:tab w:val="num" w:pos="720"/>
        </w:tabs>
        <w:ind w:left="720" w:hanging="360"/>
      </w:pPr>
      <w:rPr>
        <w:rFonts w:ascii="Symbol" w:hAnsi="Symbol" w:cs="Symbol" w:hint="default"/>
        <w:b/>
        <w:sz w:val="20"/>
        <w:szCs w:val="20"/>
      </w:rPr>
    </w:lvl>
    <w:lvl w:ilvl="2">
      <w:start w:val="1"/>
      <w:numFmt w:val="bullet"/>
      <w:lvlText w:val=""/>
      <w:lvlJc w:val="left"/>
      <w:pPr>
        <w:tabs>
          <w:tab w:val="num" w:pos="786"/>
        </w:tabs>
        <w:ind w:left="786"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720"/>
        </w:tabs>
        <w:ind w:left="720" w:hanging="360"/>
      </w:pPr>
      <w:rPr>
        <w:b/>
        <w:i w:val="false"/>
        <w:sz w:val="20"/>
        <w:szCs w:val="20"/>
        <w:lang w:val="ro-R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lowerLetter"/>
      <w:lvlText w:val="%1)"/>
      <w:lvlJc w:val="left"/>
      <w:pPr>
        <w:tabs>
          <w:tab w:val="num" w:pos="720"/>
        </w:tabs>
        <w:ind w:left="720" w:hanging="360"/>
      </w:pPr>
      <w:rPr>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Symbol" w:hAnsi="Symbol" w:cs="Symbol" w:hint="default"/>
      </w:rPr>
    </w:lvl>
    <w:lvl w:ilvl="2">
      <w:start w:val="1"/>
      <w:numFmt w:val="decimal"/>
      <w:lvlText w:val="Art.%3."/>
      <w:lvlJc w:val="left"/>
      <w:pPr>
        <w:tabs>
          <w:tab w:val="num" w:pos="0"/>
        </w:tabs>
        <w:ind w:left="0" w:hanging="0"/>
      </w:pPr>
      <w:rPr>
        <w:rFonts w:ascii="Times New Roman" w:hAnsi="Times New Roman" w:cs="Times New Roman"/>
        <w:b/>
        <w:i w:val="false"/>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lowerLetter"/>
      <w:lvlText w:val="%1)"/>
      <w:lvlJc w:val="left"/>
      <w:pPr>
        <w:tabs>
          <w:tab w:val="num" w:pos="720"/>
        </w:tabs>
        <w:ind w:left="720" w:hanging="360"/>
      </w:pPr>
      <w:rPr>
        <w:b/>
        <w:lang w:val="ro-RO"/>
      </w:rPr>
    </w:lvl>
    <w:lvl w:ilvl="1">
      <w:start w:val="1"/>
      <w:numFmt w:val="decimal"/>
      <w:lvlText w:val="Art.%2."/>
      <w:lvlJc w:val="left"/>
      <w:pPr>
        <w:tabs>
          <w:tab w:val="num" w:pos="1080"/>
        </w:tabs>
        <w:ind w:left="1080" w:hanging="0"/>
      </w:pPr>
      <w:rPr>
        <w:b/>
        <w:i w:val="false"/>
        <w:sz w:val="22"/>
        <w:szCs w:val="22"/>
      </w:rPr>
    </w:lvl>
    <w:lvl w:ilvl="2">
      <w:start w:val="1"/>
      <w:numFmt w:val="lowerLetter"/>
      <w:lvlText w:val="%3)"/>
      <w:lvlJc w:val="left"/>
      <w:pPr>
        <w:tabs>
          <w:tab w:val="num" w:pos="720"/>
        </w:tabs>
        <w:ind w:left="720" w:hanging="360"/>
      </w:pPr>
      <w:rPr>
        <w:b/>
      </w:rPr>
    </w:lvl>
    <w:lvl w:ilvl="3">
      <w:start w:val="2"/>
      <w:numFmt w:val="bullet"/>
      <w:lvlText w:val="-"/>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1">
    <w:lvl w:ilvl="0">
      <w:start w:val="1"/>
      <w:numFmt w:val="lowerLetter"/>
      <w:lvlText w:val="%1)"/>
      <w:lvlJc w:val="left"/>
      <w:pPr>
        <w:tabs>
          <w:tab w:val="num" w:pos="720"/>
        </w:tabs>
        <w:ind w:left="720" w:hanging="360"/>
      </w:pPr>
      <w:rPr>
        <w:rFonts w:ascii="Arial" w:hAnsi="Arial" w:cs="Arial"/>
        <w:b/>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lowerLetter"/>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lowerLetter"/>
      <w:lvlText w:val="%1)"/>
      <w:lvlJc w:val="left"/>
      <w:pPr>
        <w:tabs>
          <w:tab w:val="num" w:pos="720"/>
        </w:tabs>
        <w:ind w:left="720" w:hanging="360"/>
      </w:pPr>
      <w:rPr>
        <w:rFonts w:ascii="Arial" w:hAnsi="Arial" w:cs="Arial"/>
        <w:b/>
        <w:i w:val="false"/>
        <w:sz w:val="20"/>
        <w:szCs w:val="20"/>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2">
    <w:lvl w:ilvl="0">
      <w:start w:val="1"/>
      <w:numFmt w:val="decimal"/>
      <w:lvlText w:val="%1."/>
      <w:lvlJc w:val="left"/>
      <w:pPr>
        <w:tabs>
          <w:tab w:val="num" w:pos="720"/>
        </w:tabs>
        <w:ind w:left="720" w:hanging="360"/>
      </w:pPr>
      <w:rPr>
        <w:b/>
        <w:i w:val="false"/>
        <w:sz w:val="20"/>
        <w:szCs w:val="20"/>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lowerLetter"/>
      <w:lvlText w:val="%4)"/>
      <w:lvlJc w:val="left"/>
      <w:pPr>
        <w:tabs>
          <w:tab w:val="num" w:pos="720"/>
        </w:tabs>
        <w:ind w:left="720" w:hanging="360"/>
      </w:pPr>
      <w:rPr>
        <w:b/>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0"/>
    <w:lvlOverride w:ilvl="0">
      <w:startOverride w:val="1"/>
    </w:lvlOverride>
  </w:num>
  <w:num w:numId="53">
    <w:abstractNumId w:val="5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lang w:val="en-US"/>
    </w:rPr>
  </w:style>
  <w:style w:type="paragraph" w:styleId="Heading2">
    <w:name w:val="heading 2"/>
    <w:basedOn w:val="Normal"/>
    <w:next w:val="Normal"/>
    <w:pPr>
      <w:keepNext w:val="true"/>
      <w:numPr>
        <w:ilvl w:val="1"/>
        <w:numId w:val="1"/>
      </w:numPr>
      <w:tabs>
        <w:tab w:val="clear" w:pos="720"/>
        <w:tab w:val="left" w:pos="504" w:leader="none"/>
      </w:tabs>
      <w:ind w:hanging="0" w:left="-576" w:right="0"/>
      <w:outlineLvl w:val="1"/>
    </w:pPr>
    <w:rPr>
      <w:b/>
      <w:sz w:val="28"/>
    </w:rPr>
  </w:style>
  <w:style w:type="paragraph" w:styleId="Heading3">
    <w:name w:val="heading 3"/>
    <w:basedOn w:val="Normal"/>
    <w:next w:val="Normal"/>
    <w:pPr>
      <w:keepNext w:val="true"/>
      <w:numPr>
        <w:ilvl w:val="2"/>
        <w:numId w:val="1"/>
      </w:numPr>
      <w:tabs>
        <w:tab w:val="clear" w:pos="720"/>
        <w:tab w:val="left" w:pos="432" w:leader="none"/>
      </w:tabs>
      <w:ind w:hanging="432" w:left="432" w:right="0"/>
      <w:outlineLvl w:val="2"/>
    </w:pPr>
    <w:rPr>
      <w:rFonts w:ascii="Metro;Calibri" w:hAnsi="Metro;Calibri" w:cs="Metro;Calibri"/>
      <w:b/>
      <w:caps/>
      <w:sz w:val="32"/>
    </w:rPr>
  </w:style>
  <w:style w:type="paragraph" w:styleId="Heading4">
    <w:name w:val="heading 4"/>
    <w:basedOn w:val="Normal"/>
    <w:next w:val="Normal"/>
    <w:pPr>
      <w:keepNext w:val="true"/>
      <w:numPr>
        <w:ilvl w:val="3"/>
        <w:numId w:val="1"/>
      </w:numPr>
      <w:tabs>
        <w:tab w:val="clear" w:pos="720"/>
        <w:tab w:val="left" w:pos="288" w:leader="none"/>
      </w:tabs>
      <w:ind w:hanging="144" w:left="288" w:right="0"/>
      <w:jc w:val="center"/>
      <w:outlineLvl w:val="3"/>
    </w:pPr>
    <w:rPr>
      <w:b/>
      <w:sz w:val="28"/>
    </w:rPr>
  </w:style>
  <w:style w:type="paragraph" w:styleId="Heading5">
    <w:name w:val="heading 5"/>
    <w:basedOn w:val="Normal"/>
    <w:next w:val="Normal"/>
    <w:pPr>
      <w:keepNext w:val="true"/>
      <w:numPr>
        <w:ilvl w:val="4"/>
        <w:numId w:val="1"/>
      </w:numPr>
      <w:jc w:val="center"/>
      <w:outlineLvl w:val="4"/>
    </w:pPr>
    <w:rPr>
      <w:i/>
      <w:iCs/>
      <w:lang w:val="ro-RO"/>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keepNext w:val="true"/>
      <w:numPr>
        <w:ilvl w:val="6"/>
        <w:numId w:val="1"/>
      </w:numPr>
      <w:tabs>
        <w:tab w:val="left" w:pos="720" w:leader="none"/>
      </w:tabs>
      <w:ind w:hanging="288" w:left="720" w:right="0"/>
      <w:jc w:val="center"/>
      <w:outlineLvl w:val="6"/>
    </w:pPr>
    <w:rPr>
      <w:sz w:val="28"/>
    </w:rPr>
  </w:style>
  <w:style w:type="paragraph" w:styleId="Heading8">
    <w:name w:val="heading 8"/>
    <w:basedOn w:val="Normal"/>
    <w:next w:val="Normal"/>
    <w:pPr>
      <w:keepNext w:val="true"/>
      <w:numPr>
        <w:ilvl w:val="7"/>
        <w:numId w:val="1"/>
      </w:numPr>
      <w:tabs>
        <w:tab w:val="clear" w:pos="720"/>
        <w:tab w:val="left" w:pos="864" w:leader="none"/>
      </w:tabs>
      <w:ind w:hanging="432" w:left="864" w:right="0"/>
      <w:jc w:val="center"/>
      <w:outlineLvl w:val="7"/>
    </w:pPr>
    <w:rPr>
      <w:rFonts w:ascii="TimesNewRomanPSMT;Times New Roman" w:hAnsi="TimesNewRomanPSMT;Times New Roman" w:cs="TimesNewRomanPSMT;Times New Roman"/>
      <w:sz w:val="24"/>
    </w:rPr>
  </w:style>
  <w:style w:type="paragraph" w:styleId="Heading9">
    <w:name w:val="heading 9"/>
    <w:basedOn w:val="Normal"/>
    <w:next w:val="Normal"/>
    <w:pPr>
      <w:keepNext w:val="true"/>
      <w:numPr>
        <w:ilvl w:val="8"/>
        <w:numId w:val="1"/>
      </w:numPr>
      <w:tabs>
        <w:tab w:val="clear" w:pos="720"/>
        <w:tab w:val="left" w:pos="1008" w:leader="none"/>
      </w:tabs>
      <w:ind w:hanging="144" w:left="1008" w:right="0"/>
      <w:jc w:val="center"/>
      <w:outlineLvl w:val="8"/>
    </w:pPr>
    <w:rPr>
      <w:b/>
      <w:bCs/>
      <w:sz w:val="24"/>
      <w:szCs w:val="24"/>
      <w:lang w:val="en-GB"/>
    </w:rPr>
  </w:style>
  <w:style w:type="character" w:styleId="WW8Num1z0">
    <w:name w:val="WW8Num1z0"/>
    <w:rPr>
      <w:rFonts w:ascii="Arial" w:hAnsi="Arial" w:cs="Arial"/>
      <w:b/>
      <w:i w:val="false"/>
      <w:sz w:val="18"/>
      <w:szCs w:val="18"/>
      <w:lang w:val="it-IT"/>
    </w:rPr>
  </w:style>
  <w:style w:type="character" w:styleId="WW8Num2z0">
    <w:name w:val="WW8Num2z0"/>
    <w:rPr>
      <w:b/>
    </w:rPr>
  </w:style>
  <w:style w:type="character" w:styleId="WW8Num3z0">
    <w:name w:val="WW8Num3z0"/>
    <w:rPr>
      <w:rFonts w:ascii="Arial" w:hAnsi="Arial" w:cs="Arial"/>
      <w:b/>
      <w:i w:val="false"/>
      <w:sz w:val="18"/>
      <w:szCs w:val="18"/>
      <w:lang w:val="it-IT"/>
    </w:rPr>
  </w:style>
  <w:style w:type="character" w:styleId="WW8Num4z0">
    <w:name w:val="WW8Num4z0"/>
    <w:rPr>
      <w:b/>
    </w:rPr>
  </w:style>
  <w:style w:type="character" w:styleId="WW8Num5z0">
    <w:name w:val="WW8Num5z0"/>
    <w:rPr>
      <w:b/>
    </w:rPr>
  </w:style>
  <w:style w:type="character" w:styleId="WW8Num6z0">
    <w:name w:val="WW8Num6z0"/>
    <w:rPr>
      <w:b/>
    </w:rPr>
  </w:style>
  <w:style w:type="character" w:styleId="WW8Num7z0">
    <w:name w:val="WW8Num7z0"/>
    <w:rPr>
      <w:b/>
      <w:i w:val="false"/>
      <w:sz w:val="18"/>
      <w:szCs w:val="18"/>
    </w:rPr>
  </w:style>
  <w:style w:type="character" w:styleId="WW8Num7z3">
    <w:name w:val="WW8Num7z3"/>
    <w:rPr>
      <w:b/>
    </w:rPr>
  </w:style>
  <w:style w:type="character" w:styleId="WW8Num8z0">
    <w:name w:val="WW8Num8z0"/>
    <w:rPr>
      <w:rFonts w:ascii="Arial" w:hAnsi="Arial" w:cs="Arial"/>
      <w:b/>
      <w:i w:val="false"/>
      <w:sz w:val="18"/>
      <w:szCs w:val="18"/>
      <w:lang w:val="it-IT"/>
    </w:rPr>
  </w:style>
  <w:style w:type="character" w:styleId="WW8Num9z0">
    <w:name w:val="WW8Num9z0"/>
    <w:rPr>
      <w:rFonts w:ascii="Arial" w:hAnsi="Arial" w:cs="Arial"/>
      <w:b/>
      <w:i w:val="false"/>
      <w:sz w:val="18"/>
      <w:szCs w:val="18"/>
    </w:rPr>
  </w:style>
  <w:style w:type="character" w:styleId="WW8Num9z1">
    <w:name w:val="WW8Num9z1"/>
    <w:rPr>
      <w:b/>
      <w:i w:val="false"/>
      <w:sz w:val="18"/>
      <w:szCs w:val="18"/>
    </w:rPr>
  </w:style>
  <w:style w:type="character" w:styleId="WW8Num10z0">
    <w:name w:val="WW8Num10z0"/>
    <w:rPr>
      <w:b/>
    </w:rPr>
  </w:style>
  <w:style w:type="character" w:styleId="WW8Num10z1">
    <w:name w:val="WW8Num10z1"/>
    <w:rPr>
      <w:rFonts w:ascii="Symbol" w:hAnsi="Symbol" w:cs="Symbol"/>
      <w:b w:val="false"/>
      <w:sz w:val="18"/>
      <w:szCs w:val="18"/>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0z4">
    <w:name w:val="WW8Num10z4"/>
    <w:rPr>
      <w:rFonts w:ascii="Courier New" w:hAnsi="Courier New" w:cs="Courier New"/>
    </w:rPr>
  </w:style>
  <w:style w:type="character" w:styleId="WW8Num11z0">
    <w:name w:val="WW8Num11z0"/>
    <w:rPr>
      <w:rFonts w:ascii="Arial" w:hAnsi="Arial" w:cs="Arial"/>
      <w:b/>
      <w:i w:val="false"/>
      <w:spacing w:val="0"/>
      <w:w w:val="100"/>
      <w:kern w:val="2"/>
      <w:position w:val="0"/>
      <w:sz w:val="22"/>
      <w:szCs w:val="22"/>
      <w:vertAlign w:val="baseline"/>
    </w:rPr>
  </w:style>
  <w:style w:type="character" w:styleId="WW8Num11z1">
    <w:name w:val="WW8Num11z1"/>
    <w:rPr>
      <w:lang w:val="fr-FR"/>
    </w:rPr>
  </w:style>
  <w:style w:type="character" w:styleId="WW8Num11z2">
    <w:name w:val="WW8Num11z2"/>
    <w:rPr/>
  </w:style>
  <w:style w:type="character" w:styleId="WW8Num11z5">
    <w:name w:val="WW8Num11z5"/>
    <w:rPr>
      <w:b/>
    </w:rPr>
  </w:style>
  <w:style w:type="character" w:styleId="WW8Num12z0">
    <w:name w:val="WW8Num12z0"/>
    <w:rPr>
      <w:rFonts w:ascii="Arial" w:hAnsi="Arial" w:cs="Arial"/>
      <w:b/>
      <w:i w:val="false"/>
      <w:sz w:val="18"/>
      <w:szCs w:val="18"/>
      <w:lang w:val="it-IT"/>
    </w:rPr>
  </w:style>
  <w:style w:type="character" w:styleId="WW8Num13z0">
    <w:name w:val="WW8Num13z0"/>
    <w:rPr>
      <w:b/>
    </w:rPr>
  </w:style>
  <w:style w:type="character" w:styleId="WW8Num14z0">
    <w:name w:val="WW8Num14z0"/>
    <w:rPr>
      <w:b/>
    </w:rPr>
  </w:style>
  <w:style w:type="character" w:styleId="WW8Num15z0">
    <w:name w:val="WW8Num15z0"/>
    <w:rPr>
      <w:b/>
    </w:rPr>
  </w:style>
  <w:style w:type="character" w:styleId="WW8Num16z0">
    <w:name w:val="WW8Num16z0"/>
    <w:rPr>
      <w:rFonts w:ascii="Arial" w:hAnsi="Arial" w:eastAsia="Times New Roman" w:cs="Arial"/>
      <w:b/>
      <w:i w:val="false"/>
      <w:sz w:val="18"/>
      <w:szCs w:val="18"/>
    </w:rPr>
  </w:style>
  <w:style w:type="character" w:styleId="WW8Num17z0">
    <w:name w:val="WW8Num17z0"/>
    <w:rPr>
      <w:b/>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b/>
      <w:i w:val="false"/>
      <w:sz w:val="18"/>
      <w:szCs w:val="18"/>
    </w:rPr>
  </w:style>
  <w:style w:type="character" w:styleId="WW8Num19z0">
    <w:name w:val="WW8Num19z0"/>
    <w:rPr>
      <w:rFonts w:ascii="Arial" w:hAnsi="Arial" w:eastAsia="Times New Roman" w:cs="Arial"/>
      <w:b/>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b/>
      <w:sz w:val="18"/>
      <w:szCs w:val="18"/>
    </w:rPr>
  </w:style>
  <w:style w:type="character" w:styleId="WW8Num21z0">
    <w:name w:val="WW8Num21z0"/>
    <w:rPr>
      <w:b/>
      <w:i w:val="false"/>
      <w:sz w:val="18"/>
      <w:szCs w:val="18"/>
      <w:lang w:val="ro-RO"/>
    </w:rPr>
  </w:style>
  <w:style w:type="character" w:styleId="WW8Num22z0">
    <w:name w:val="WW8Num22z0"/>
    <w:rPr>
      <w:rFonts w:ascii="Arial" w:hAnsi="Arial" w:cs="Arial"/>
      <w:b/>
      <w:i w:val="false"/>
      <w:sz w:val="18"/>
      <w:szCs w:val="18"/>
      <w:lang w:val="it-IT"/>
    </w:rPr>
  </w:style>
  <w:style w:type="character" w:styleId="WW8Num22z1">
    <w:name w:val="WW8Num22z1"/>
    <w:rPr>
      <w:rFonts w:ascii="Arial" w:hAnsi="Arial" w:cs="Arial"/>
      <w:b/>
      <w:i w:val="false"/>
      <w:sz w:val="20"/>
      <w:szCs w:val="20"/>
      <w:lang w:val="es-ES_tradnl"/>
    </w:rPr>
  </w:style>
  <w:style w:type="character" w:styleId="WW8Num22z2">
    <w:name w:val="WW8Num22z2"/>
    <w:rPr>
      <w:rFonts w:ascii="Arial" w:hAnsi="Arial" w:cs="Arial"/>
      <w:b/>
      <w:i w:val="false"/>
      <w:sz w:val="18"/>
      <w:szCs w:val="18"/>
      <w:lang w:val="it-IT"/>
    </w:rPr>
  </w:style>
  <w:style w:type="character" w:styleId="WW8Num22z3">
    <w:name w:val="WW8Num22z3"/>
    <w:rPr>
      <w:b/>
      <w:i w:val="false"/>
      <w:sz w:val="18"/>
      <w:szCs w:val="18"/>
      <w:lang w:val="ro-RO"/>
    </w:rPr>
  </w:style>
  <w:style w:type="character" w:styleId="WW8Num22z4">
    <w:name w:val="WW8Num22z4"/>
    <w:rPr>
      <w:b/>
    </w:rPr>
  </w:style>
  <w:style w:type="character" w:styleId="WW8Num22z5">
    <w:name w:val="WW8Num22z5"/>
    <w:rPr>
      <w:b/>
    </w:rPr>
  </w:style>
  <w:style w:type="character" w:styleId="WW8Num23z0">
    <w:name w:val="WW8Num23z0"/>
    <w:rPr>
      <w:rFonts w:ascii="Arial" w:hAnsi="Arial" w:cs="Arial"/>
      <w:b/>
      <w:i w:val="false"/>
      <w:sz w:val="18"/>
      <w:szCs w:val="18"/>
      <w:lang w:val="it-IT"/>
    </w:rPr>
  </w:style>
  <w:style w:type="character" w:styleId="WW8Num24z0">
    <w:name w:val="WW8Num24z0"/>
    <w:rPr>
      <w:b/>
      <w:i w:val="false"/>
      <w:sz w:val="18"/>
      <w:szCs w:val="18"/>
      <w:lang w:val="ro-RO"/>
    </w:rPr>
  </w:style>
  <w:style w:type="character" w:styleId="WW8Num25z0">
    <w:name w:val="WW8Num25z0"/>
    <w:rPr>
      <w:rFonts w:ascii="Arial" w:hAnsi="Arial" w:eastAsia="Times New Roman" w:cs="Arial"/>
      <w:b/>
    </w:rPr>
  </w:style>
  <w:style w:type="character" w:styleId="WW8Num25z1">
    <w:name w:val="WW8Num25z1"/>
    <w:rPr>
      <w:rFonts w:ascii="Courier New" w:hAnsi="Courier New" w:cs="Courier New"/>
    </w:rPr>
  </w:style>
  <w:style w:type="character" w:styleId="WW8Num25z2">
    <w:name w:val="WW8Num25z2"/>
    <w:rPr>
      <w:rFonts w:ascii="Wingdings" w:hAnsi="Wingdings" w:cs="Wingdings"/>
    </w:rPr>
  </w:style>
  <w:style w:type="character" w:styleId="WW8Num25z3">
    <w:name w:val="WW8Num25z3"/>
    <w:rPr>
      <w:rFonts w:ascii="Symbol" w:hAnsi="Symbol" w:cs="Symbol"/>
    </w:rPr>
  </w:style>
  <w:style w:type="character" w:styleId="WW8Num26z0">
    <w:name w:val="WW8Num26z0"/>
    <w:rPr>
      <w:rFonts w:ascii="Times New Roman" w:hAnsi="Times New Roman" w:cs="Times New Roman"/>
      <w:b/>
      <w:sz w:val="24"/>
    </w:rPr>
  </w:style>
  <w:style w:type="character" w:styleId="WW8Num27z0">
    <w:name w:val="WW8Num27z0"/>
    <w:rPr>
      <w:b/>
    </w:rPr>
  </w:style>
  <w:style w:type="character" w:styleId="WW8Num28z0">
    <w:name w:val="WW8Num28z0"/>
    <w:rPr>
      <w:b/>
      <w:sz w:val="18"/>
      <w:szCs w:val="18"/>
    </w:rPr>
  </w:style>
  <w:style w:type="character" w:styleId="WW8Num29z0">
    <w:name w:val="WW8Num29z0"/>
    <w:rPr>
      <w:rFonts w:ascii="Arial" w:hAnsi="Arial" w:cs="Arial"/>
      <w:b/>
      <w:i w:val="false"/>
      <w:sz w:val="18"/>
      <w:szCs w:val="18"/>
      <w:lang w:val="it-IT"/>
    </w:rPr>
  </w:style>
  <w:style w:type="character" w:styleId="WW8Num30z0">
    <w:name w:val="WW8Num30z0"/>
    <w:rPr>
      <w:b/>
    </w:rPr>
  </w:style>
  <w:style w:type="character" w:styleId="WW8Num31z0">
    <w:name w:val="WW8Num31z0"/>
    <w:rPr>
      <w:rFonts w:ascii="Arial" w:hAnsi="Arial" w:cs="Arial"/>
      <w:b/>
      <w:i w:val="false"/>
      <w:sz w:val="18"/>
      <w:szCs w:val="18"/>
      <w:lang w:val="it-IT"/>
    </w:rPr>
  </w:style>
  <w:style w:type="character" w:styleId="WW8Num32z0">
    <w:name w:val="WW8Num32z0"/>
    <w:rPr>
      <w:b/>
      <w:i w:val="false"/>
      <w:sz w:val="18"/>
      <w:szCs w:val="18"/>
      <w:lang w:val="ro-RO"/>
    </w:rPr>
  </w:style>
  <w:style w:type="character" w:styleId="WW8Num33z0">
    <w:name w:val="WW8Num33z0"/>
    <w:rPr>
      <w:rFonts w:ascii="Arial" w:hAnsi="Arial" w:eastAsia="Times New Roman" w:cs="Arial"/>
      <w:b/>
    </w:rPr>
  </w:style>
  <w:style w:type="character" w:styleId="WW8Num33z1">
    <w:name w:val="WW8Num33z1"/>
    <w:rPr>
      <w:rFonts w:ascii="Symbol" w:hAnsi="Symbol" w:cs="Symbol"/>
      <w:b/>
      <w:sz w:val="18"/>
      <w:szCs w:val="18"/>
    </w:rPr>
  </w:style>
  <w:style w:type="character" w:styleId="WW8Num33z2">
    <w:name w:val="WW8Num33z2"/>
    <w:rPr>
      <w:rFonts w:ascii="Wingdings" w:hAnsi="Wingdings" w:cs="Wingdings"/>
    </w:rPr>
  </w:style>
  <w:style w:type="character" w:styleId="WW8Num33z3">
    <w:name w:val="WW8Num33z3"/>
    <w:rPr>
      <w:rFonts w:ascii="Symbol" w:hAnsi="Symbol" w:cs="Symbol"/>
    </w:rPr>
  </w:style>
  <w:style w:type="character" w:styleId="WW8Num33z4">
    <w:name w:val="WW8Num33z4"/>
    <w:rPr>
      <w:rFonts w:ascii="Courier New" w:hAnsi="Courier New" w:cs="Courier New"/>
    </w:rPr>
  </w:style>
  <w:style w:type="character" w:styleId="WW8Num33z5">
    <w:name w:val="WW8Num33z5"/>
    <w:rPr>
      <w:rFonts w:ascii="Wingdings" w:hAnsi="Wingdings" w:cs="Wingdings"/>
    </w:rPr>
  </w:style>
  <w:style w:type="character" w:styleId="WW8Num34z0">
    <w:name w:val="WW8Num34z0"/>
    <w:rPr>
      <w:rFonts w:ascii="Arial" w:hAnsi="Arial" w:cs="Arial"/>
      <w:b/>
      <w:i w:val="false"/>
      <w:sz w:val="18"/>
      <w:szCs w:val="18"/>
      <w:lang w:val="it-IT"/>
    </w:rPr>
  </w:style>
  <w:style w:type="character" w:styleId="WW8Num35z0">
    <w:name w:val="WW8Num35z0"/>
    <w:rPr>
      <w:rFonts w:ascii="Arial" w:hAnsi="Arial" w:eastAsia="Times New Roman" w:cs="Arial"/>
      <w:b/>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5z3">
    <w:name w:val="WW8Num35z3"/>
    <w:rPr>
      <w:rFonts w:ascii="Symbol" w:hAnsi="Symbol" w:cs="Symbol"/>
    </w:rPr>
  </w:style>
  <w:style w:type="character" w:styleId="WW8Num36z0">
    <w:name w:val="WW8Num36z0"/>
    <w:rPr>
      <w:rFonts w:ascii="Arial" w:hAnsi="Arial" w:cs="Arial"/>
      <w:b/>
      <w:i w:val="false"/>
      <w:sz w:val="18"/>
      <w:szCs w:val="18"/>
      <w:lang w:val="it-IT"/>
    </w:rPr>
  </w:style>
  <w:style w:type="character" w:styleId="WW8Num37z0">
    <w:name w:val="WW8Num37z0"/>
    <w:rPr>
      <w:b/>
    </w:rPr>
  </w:style>
  <w:style w:type="character" w:styleId="WW8Num38z0">
    <w:name w:val="WW8Num38z0"/>
    <w:rPr>
      <w:rFonts w:ascii="Times New Roman" w:hAnsi="Times New Roman" w:cs="Times New Roman"/>
      <w:b/>
      <w:i w:val="false"/>
      <w:spacing w:val="0"/>
      <w:w w:val="100"/>
      <w:kern w:val="2"/>
      <w:position w:val="0"/>
      <w:sz w:val="24"/>
      <w:szCs w:val="24"/>
      <w:vertAlign w:val="baseline"/>
    </w:rPr>
  </w:style>
  <w:style w:type="character" w:styleId="WW8Num38z1">
    <w:name w:val="WW8Num38z1"/>
    <w:rPr/>
  </w:style>
  <w:style w:type="character" w:styleId="WW8Num39z0">
    <w:name w:val="WW8Num39z0"/>
    <w:rPr>
      <w:b/>
      <w:i w:val="false"/>
      <w:sz w:val="18"/>
      <w:szCs w:val="18"/>
      <w:lang w:val="ro-RO"/>
    </w:rPr>
  </w:style>
  <w:style w:type="character" w:styleId="WW8Num40z0">
    <w:name w:val="WW8Num40z0"/>
    <w:rPr>
      <w:rFonts w:ascii="Times New Roman" w:hAnsi="Times New Roman" w:cs="Times New Roman"/>
      <w:b/>
      <w:sz w:val="24"/>
    </w:rPr>
  </w:style>
  <w:style w:type="character" w:styleId="WW8Num41z0">
    <w:name w:val="WW8Num41z0"/>
    <w:rPr>
      <w:b/>
    </w:rPr>
  </w:style>
  <w:style w:type="character" w:styleId="WW8Num42z0">
    <w:name w:val="WW8Num42z0"/>
    <w:rPr>
      <w:b/>
      <w:sz w:val="18"/>
      <w:szCs w:val="18"/>
    </w:rPr>
  </w:style>
  <w:style w:type="character" w:styleId="WW8Num43z0">
    <w:name w:val="WW8Num43z0"/>
    <w:rPr>
      <w:rFonts w:ascii="Wingdings" w:hAnsi="Wingdings" w:cs="Wingdings"/>
    </w:rPr>
  </w:style>
  <w:style w:type="character" w:styleId="WW8Num43z1">
    <w:name w:val="WW8Num43z1"/>
    <w:rPr>
      <w:rFonts w:ascii="Symbol" w:hAnsi="Symbol" w:cs="Symbol"/>
    </w:rPr>
  </w:style>
  <w:style w:type="character" w:styleId="WW8Num43z2">
    <w:name w:val="WW8Num43z2"/>
    <w:rPr>
      <w:rFonts w:ascii="Times New Roman" w:hAnsi="Times New Roman" w:cs="Times New Roman"/>
      <w:b/>
      <w:i w:val="false"/>
      <w:sz w:val="22"/>
      <w:szCs w:val="22"/>
    </w:rPr>
  </w:style>
  <w:style w:type="character" w:styleId="WW8Num43z3">
    <w:name w:val="WW8Num43z3"/>
    <w:rPr>
      <w:rFonts w:ascii="Symbol" w:hAnsi="Symbol" w:cs="Symbol"/>
    </w:rPr>
  </w:style>
  <w:style w:type="character" w:styleId="WW8Num43z4">
    <w:name w:val="WW8Num43z4"/>
    <w:rPr>
      <w:rFonts w:ascii="Courier New" w:hAnsi="Courier New" w:cs="Courier New"/>
    </w:rPr>
  </w:style>
  <w:style w:type="character" w:styleId="WW8Num43z5">
    <w:name w:val="WW8Num43z5"/>
    <w:rPr>
      <w:rFonts w:ascii="Wingdings" w:hAnsi="Wingdings" w:cs="Wingdings"/>
    </w:rPr>
  </w:style>
  <w:style w:type="character" w:styleId="WW8Num44z0">
    <w:name w:val="WW8Num44z0"/>
    <w:rPr>
      <w:rFonts w:ascii="Arial" w:hAnsi="Arial" w:cs="Arial"/>
      <w:b/>
      <w:i w:val="false"/>
      <w:sz w:val="18"/>
      <w:szCs w:val="18"/>
      <w:lang w:val="it-IT"/>
    </w:rPr>
  </w:style>
  <w:style w:type="character" w:styleId="WW8Num45z0">
    <w:name w:val="WW8Num45z0"/>
    <w:rPr>
      <w:rFonts w:ascii="Arial" w:hAnsi="Arial" w:eastAsia="Times New Roman" w:cs="Arial"/>
      <w:b/>
    </w:rPr>
  </w:style>
  <w:style w:type="character" w:styleId="WW8Num45z1">
    <w:name w:val="WW8Num45z1"/>
    <w:rPr>
      <w:rFonts w:ascii="Courier New" w:hAnsi="Courier New" w:cs="Courier New"/>
    </w:rPr>
  </w:style>
  <w:style w:type="character" w:styleId="WW8Num45z2">
    <w:name w:val="WW8Num45z2"/>
    <w:rPr>
      <w:rFonts w:ascii="Wingdings" w:hAnsi="Wingdings" w:cs="Wingdings"/>
    </w:rPr>
  </w:style>
  <w:style w:type="character" w:styleId="WW8Num45z3">
    <w:name w:val="WW8Num45z3"/>
    <w:rPr>
      <w:rFonts w:ascii="Symbol" w:hAnsi="Symbol" w:cs="Symbol"/>
    </w:rPr>
  </w:style>
  <w:style w:type="character" w:styleId="WW8Num46z0">
    <w:name w:val="WW8Num46z0"/>
    <w:rPr>
      <w:b/>
      <w:lang w:val="ro-RO"/>
    </w:rPr>
  </w:style>
  <w:style w:type="character" w:styleId="WW8Num46z1">
    <w:name w:val="WW8Num46z1"/>
    <w:rPr>
      <w:b/>
      <w:i w:val="false"/>
      <w:sz w:val="22"/>
      <w:szCs w:val="22"/>
    </w:rPr>
  </w:style>
  <w:style w:type="character" w:styleId="WW8Num46z2">
    <w:name w:val="WW8Num46z2"/>
    <w:rPr>
      <w:b/>
    </w:rPr>
  </w:style>
  <w:style w:type="character" w:styleId="WW8Num46z3">
    <w:name w:val="WW8Num46z3"/>
    <w:rPr>
      <w:rFonts w:ascii="Times New Roman" w:hAnsi="Times New Roman" w:eastAsia="Times New Roman" w:cs="Times New Roman"/>
    </w:rPr>
  </w:style>
  <w:style w:type="character" w:styleId="WW8Num46z4">
    <w:name w:val="WW8Num46z4"/>
    <w:rPr/>
  </w:style>
  <w:style w:type="character" w:styleId="WW8Num46z5">
    <w:name w:val="WW8Num46z5"/>
    <w:rPr>
      <w:rFonts w:ascii="Wingdings" w:hAnsi="Wingdings" w:cs="Wingdings"/>
    </w:rPr>
  </w:style>
  <w:style w:type="character" w:styleId="WW8Num46z6">
    <w:name w:val="WW8Num46z6"/>
    <w:rPr>
      <w:rFonts w:ascii="Symbol" w:hAnsi="Symbol" w:cs="Symbol"/>
    </w:rPr>
  </w:style>
  <w:style w:type="character" w:styleId="WW8Num46z7">
    <w:name w:val="WW8Num46z7"/>
    <w:rPr>
      <w:rFonts w:ascii="Courier New" w:hAnsi="Courier New" w:cs="Courier New"/>
    </w:rPr>
  </w:style>
  <w:style w:type="character" w:styleId="WW8Num47z0">
    <w:name w:val="WW8Num47z0"/>
    <w:rPr>
      <w:rFonts w:ascii="Times New Roman" w:hAnsi="Times New Roman" w:cs="Times New Roman"/>
      <w:b/>
      <w:sz w:val="24"/>
      <w:szCs w:val="24"/>
    </w:rPr>
  </w:style>
  <w:style w:type="character" w:styleId="WW8Num47z1">
    <w:name w:val="WW8Num47z1"/>
    <w:rPr/>
  </w:style>
  <w:style w:type="character" w:styleId="WW8Num48z0">
    <w:name w:val="WW8Num48z0"/>
    <w:rPr>
      <w:rFonts w:ascii="Arial" w:hAnsi="Arial" w:cs="Arial"/>
      <w:b/>
      <w:sz w:val="18"/>
      <w:szCs w:val="18"/>
    </w:rPr>
  </w:style>
  <w:style w:type="character" w:styleId="WW8Num49z0">
    <w:name w:val="WW8Num49z0"/>
    <w:rPr>
      <w:b/>
    </w:rPr>
  </w:style>
  <w:style w:type="character" w:styleId="WW8Num50z0">
    <w:name w:val="WW8Num50z0"/>
    <w:rPr/>
  </w:style>
  <w:style w:type="character" w:styleId="WW8Num51z0">
    <w:name w:val="WW8Num51z0"/>
    <w:rPr>
      <w:b/>
    </w:rPr>
  </w:style>
  <w:style w:type="character" w:styleId="WW8Num52z0">
    <w:name w:val="WW8Num52z0"/>
    <w:rPr>
      <w:rFonts w:ascii="Times New Roman" w:hAnsi="Times New Roman" w:cs="Times New Roman"/>
      <w:sz w:val="24"/>
    </w:rPr>
  </w:style>
  <w:style w:type="character" w:styleId="WW8Num53z0">
    <w:name w:val="WW8Num53z0"/>
    <w:rPr>
      <w:rFonts w:ascii="Arial" w:hAnsi="Arial" w:eastAsia="Times New Roman" w:cs="Arial"/>
      <w:b/>
    </w:rPr>
  </w:style>
  <w:style w:type="character" w:styleId="WW8Num53z1">
    <w:name w:val="WW8Num53z1"/>
    <w:rPr>
      <w:rFonts w:ascii="Courier New" w:hAnsi="Courier New" w:cs="Courier New"/>
    </w:rPr>
  </w:style>
  <w:style w:type="character" w:styleId="WW8Num53z2">
    <w:name w:val="WW8Num53z2"/>
    <w:rPr>
      <w:rFonts w:ascii="Wingdings" w:hAnsi="Wingdings" w:cs="Wingdings"/>
    </w:rPr>
  </w:style>
  <w:style w:type="character" w:styleId="WW8Num53z3">
    <w:name w:val="WW8Num53z3"/>
    <w:rPr>
      <w:rFonts w:ascii="Symbol" w:hAnsi="Symbol" w:cs="Symbol"/>
    </w:rPr>
  </w:style>
  <w:style w:type="character" w:styleId="WW8Num54z0">
    <w:name w:val="WW8Num54z0"/>
    <w:rPr>
      <w:rFonts w:ascii="Arial" w:hAnsi="Arial" w:cs="Arial"/>
      <w:b/>
      <w:i w:val="false"/>
      <w:sz w:val="18"/>
      <w:szCs w:val="18"/>
      <w:lang w:val="it-IT"/>
    </w:rPr>
  </w:style>
  <w:style w:type="character" w:styleId="WW8Num55z0">
    <w:name w:val="WW8Num55z0"/>
    <w:rPr>
      <w:rFonts w:ascii="Arial" w:hAnsi="Arial" w:eastAsia="Times New Roman" w:cs="Arial"/>
      <w:b/>
    </w:rPr>
  </w:style>
  <w:style w:type="character" w:styleId="WW8Num55z1">
    <w:name w:val="WW8Num55z1"/>
    <w:rPr>
      <w:rFonts w:ascii="Courier New" w:hAnsi="Courier New" w:cs="Courier New"/>
    </w:rPr>
  </w:style>
  <w:style w:type="character" w:styleId="WW8Num55z2">
    <w:name w:val="WW8Num55z2"/>
    <w:rPr>
      <w:rFonts w:ascii="Wingdings" w:hAnsi="Wingdings" w:cs="Wingdings"/>
    </w:rPr>
  </w:style>
  <w:style w:type="character" w:styleId="WW8Num55z3">
    <w:name w:val="WW8Num55z3"/>
    <w:rPr>
      <w:rFonts w:ascii="Symbol" w:hAnsi="Symbol" w:cs="Symbol"/>
    </w:rPr>
  </w:style>
  <w:style w:type="character" w:styleId="WW8Num56z0">
    <w:name w:val="WW8Num56z0"/>
    <w:rPr>
      <w:rFonts w:ascii="Arial" w:hAnsi="Arial" w:eastAsia="Times New Roman" w:cs="Arial"/>
      <w:b/>
    </w:rPr>
  </w:style>
  <w:style w:type="character" w:styleId="WW8Num56z1">
    <w:name w:val="WW8Num56z1"/>
    <w:rPr>
      <w:rFonts w:ascii="Courier New" w:hAnsi="Courier New" w:cs="Courier New"/>
    </w:rPr>
  </w:style>
  <w:style w:type="character" w:styleId="WW8Num56z2">
    <w:name w:val="WW8Num56z2"/>
    <w:rPr>
      <w:rFonts w:ascii="Wingdings" w:hAnsi="Wingdings" w:cs="Wingdings"/>
    </w:rPr>
  </w:style>
  <w:style w:type="character" w:styleId="WW8Num56z3">
    <w:name w:val="WW8Num56z3"/>
    <w:rPr>
      <w:rFonts w:ascii="Symbol" w:hAnsi="Symbol" w:cs="Symbol"/>
    </w:rPr>
  </w:style>
  <w:style w:type="character" w:styleId="WW8Num57z0">
    <w:name w:val="WW8Num57z0"/>
    <w:rPr>
      <w:b/>
    </w:rPr>
  </w:style>
  <w:style w:type="character" w:styleId="WW8Num58z0">
    <w:name w:val="WW8Num58z0"/>
    <w:rPr>
      <w:sz w:val="16"/>
      <w:szCs w:val="16"/>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tal1">
    <w:name w:val="tal1"/>
    <w:basedOn w:val="DefaultParagraphFont"/>
    <w:rPr/>
  </w:style>
  <w:style w:type="character" w:styleId="tpt1">
    <w:name w:val="tpt1"/>
    <w:basedOn w:val="DefaultParagraphFont"/>
    <w:rPr/>
  </w:style>
  <w:style w:type="character" w:styleId="tli1">
    <w:name w:val="tli1"/>
    <w:basedOn w:val="DefaultParagraphFont"/>
    <w:rPr/>
  </w:style>
  <w:style w:type="character" w:styleId="text-albastru-recomanda-unui-prieten">
    <w:name w:val="text-albastru-recomanda-unui-prieten"/>
    <w:basedOn w:val="DefaultParagraphFont"/>
    <w:rPr/>
  </w:style>
  <w:style w:type="character" w:styleId="li1">
    <w:name w:val="li1"/>
    <w:rPr>
      <w:b/>
      <w:bCs/>
    </w:rPr>
  </w:style>
  <w:style w:type="character" w:styleId="al1">
    <w:name w:val="al1"/>
    <w:rPr>
      <w:b/>
      <w:bCs/>
    </w:rPr>
  </w:style>
  <w:style w:type="character" w:styleId="sp1">
    <w:name w:val="sp1"/>
    <w:rPr>
      <w:b/>
      <w:bCs/>
    </w:rPr>
  </w:style>
  <w:style w:type="character" w:styleId="tsp1">
    <w:name w:val="tsp1"/>
    <w:basedOn w:val="DefaultParagraphFont"/>
    <w:rPr/>
  </w:style>
  <w:style w:type="character" w:styleId="pt1">
    <w:name w:val="pt1"/>
    <w:rPr>
      <w:b/>
      <w:bCs/>
    </w:rPr>
  </w:style>
  <w:style w:type="character" w:styleId="ar1">
    <w:name w:val="ar1"/>
    <w:rPr>
      <w:b/>
      <w:bCs/>
      <w:sz w:val="22"/>
      <w:szCs w:val="22"/>
    </w:rPr>
  </w:style>
  <w:style w:type="character" w:styleId="NormalWebChar">
    <w:name w:val="Normal (Web) Char"/>
    <w:rPr>
      <w:sz w:val="24"/>
      <w:szCs w:val="24"/>
      <w:lang w:bidi="ar-SA"/>
    </w:rPr>
  </w:style>
  <w:style w:type="character" w:styleId="Hyperlink">
    <w:name w:val="Hyperlink"/>
    <w:rPr>
      <w:u w:val="single"/>
    </w:rPr>
  </w:style>
  <w:style w:type="character" w:styleId="FollowedHyperlink">
    <w:name w:val="FollowedHyperlink"/>
    <w:rPr>
      <w:u w:val="single"/>
    </w:rPr>
  </w:style>
  <w:style w:type="character" w:styleId="emailstyle17">
    <w:name w:val="emailstyle17"/>
    <w:rPr>
      <w:rFonts w:ascii="Arial" w:hAnsi="Arial" w:cs="Arial"/>
    </w:rPr>
  </w:style>
  <w:style w:type="character" w:styleId="do1">
    <w:name w:val="do1"/>
    <w:rPr>
      <w:b/>
      <w:bCs/>
    </w:rPr>
  </w:style>
  <w:style w:type="character" w:styleId="tdo1">
    <w:name w:val="tdo1"/>
    <w:rPr>
      <w:b/>
      <w:bCs/>
    </w:rPr>
  </w:style>
  <w:style w:type="character" w:styleId="ca1">
    <w:name w:val="ca1"/>
    <w:rPr>
      <w:b/>
      <w:bCs/>
    </w:rPr>
  </w:style>
  <w:style w:type="character" w:styleId="tca1">
    <w:name w:val="tca1"/>
    <w:rPr>
      <w:b/>
      <w:bCs/>
    </w:rPr>
  </w:style>
  <w:style w:type="character" w:styleId="tar1">
    <w:name w:val="tar1"/>
    <w:rPr>
      <w:b/>
      <w:bCs/>
    </w:rPr>
  </w:style>
  <w:style w:type="character" w:styleId="ax1">
    <w:name w:val="ax1"/>
    <w:rPr>
      <w:b/>
      <w:bCs/>
    </w:rPr>
  </w:style>
  <w:style w:type="character" w:styleId="tax1">
    <w:name w:val="tax1"/>
    <w:rPr>
      <w:b/>
      <w:bCs/>
    </w:rPr>
  </w:style>
  <w:style w:type="character" w:styleId="Strong">
    <w:name w:val="Strong"/>
    <w:rPr>
      <w:b/>
      <w:bCs/>
    </w:rPr>
  </w:style>
  <w:style w:type="character" w:styleId="Emphasis">
    <w:name w:val="Emphasis"/>
    <w:rPr>
      <w:i/>
      <w:iCs/>
    </w:rPr>
  </w:style>
  <w:style w:type="character" w:styleId="si1">
    <w:name w:val="si1"/>
    <w:rPr>
      <w:b/>
      <w:bCs/>
      <w:sz w:val="24"/>
      <w:szCs w:val="24"/>
    </w:rPr>
  </w:style>
  <w:style w:type="character" w:styleId="tsi1">
    <w:name w:val="tsi1"/>
    <w:rPr>
      <w:b/>
      <w:bCs/>
      <w:sz w:val="24"/>
      <w:szCs w:val="24"/>
    </w:rPr>
  </w:style>
  <w:style w:type="character" w:styleId="CharChar">
    <w:name w:val=" Char Char"/>
    <w:rPr>
      <w:rFonts w:ascii="Arial Unicode MS" w:hAnsi="Arial Unicode MS" w:eastAsia="Arial Unicode MS" w:cs="Arial Unicode MS"/>
      <w:sz w:val="24"/>
      <w:szCs w:val="24"/>
      <w:lang w:val="en-GB" w:bidi="ar-SA"/>
    </w:rPr>
  </w:style>
  <w:style w:type="character" w:styleId="FontStyle13">
    <w:name w:val="Font Style13"/>
    <w:rPr>
      <w:rFonts w:ascii="Arial" w:hAnsi="Arial" w:cs="Arial"/>
      <w:b/>
      <w:bCs/>
      <w:i/>
      <w:iCs/>
      <w:sz w:val="16"/>
      <w:szCs w:val="16"/>
    </w:rPr>
  </w:style>
  <w:style w:type="character" w:styleId="FontStyle50">
    <w:name w:val="Font Style50"/>
    <w:rPr>
      <w:rFonts w:ascii="Arial" w:hAnsi="Arial" w:cs="Arial"/>
      <w:sz w:val="16"/>
      <w:szCs w:val="16"/>
    </w:rPr>
  </w:style>
  <w:style w:type="character" w:styleId="FontStyle53">
    <w:name w:val="Font Style53"/>
    <w:rPr>
      <w:rFonts w:ascii="Arial" w:hAnsi="Arial" w:cs="Arial"/>
      <w:b/>
      <w:bCs/>
      <w:sz w:val="16"/>
      <w:szCs w:val="16"/>
    </w:rPr>
  </w:style>
  <w:style w:type="character" w:styleId="FontStyle54">
    <w:name w:val="Font Style54"/>
    <w:rPr>
      <w:rFonts w:ascii="Arial" w:hAnsi="Arial" w:cs="Arial"/>
      <w:b/>
      <w:bCs/>
      <w:sz w:val="16"/>
      <w:szCs w:val="16"/>
    </w:rPr>
  </w:style>
  <w:style w:type="character" w:styleId="FontStyle20">
    <w:name w:val="Font Style20"/>
    <w:rPr>
      <w:rFonts w:ascii="Arial" w:hAnsi="Arial" w:cs="Arial"/>
      <w:b/>
      <w:bCs/>
      <w:sz w:val="16"/>
      <w:szCs w:val="16"/>
    </w:rPr>
  </w:style>
  <w:style w:type="character" w:styleId="FontStyle22">
    <w:name w:val="Font Style22"/>
    <w:rPr>
      <w:rFonts w:ascii="Arial" w:hAnsi="Arial" w:cs="Arial"/>
      <w:sz w:val="16"/>
      <w:szCs w:val="16"/>
    </w:rPr>
  </w:style>
  <w:style w:type="character" w:styleId="FontStyle24">
    <w:name w:val="Font Style24"/>
    <w:rPr>
      <w:rFonts w:ascii="Arial" w:hAnsi="Arial" w:cs="Arial"/>
      <w:b/>
      <w:bCs/>
      <w:sz w:val="16"/>
      <w:szCs w:val="16"/>
    </w:rPr>
  </w:style>
  <w:style w:type="character" w:styleId="FontStyle26">
    <w:name w:val="Font Style26"/>
    <w:rPr>
      <w:rFonts w:ascii="Arial" w:hAnsi="Arial" w:cs="Arial"/>
      <w:b/>
      <w:bCs/>
      <w:spacing w:val="-20"/>
      <w:sz w:val="22"/>
      <w:szCs w:val="22"/>
    </w:rPr>
  </w:style>
  <w:style w:type="character" w:styleId="FontStyle15">
    <w:name w:val="Font Style15"/>
    <w:rPr>
      <w:rFonts w:ascii="Arial" w:hAnsi="Arial" w:cs="Arial"/>
      <w:sz w:val="16"/>
      <w:szCs w:val="16"/>
    </w:rPr>
  </w:style>
  <w:style w:type="character" w:styleId="FontStyle16">
    <w:name w:val="Font Style16"/>
    <w:rPr>
      <w:rFonts w:ascii="Arial" w:hAnsi="Arial" w:cs="Arial"/>
      <w:b/>
      <w:bCs/>
      <w:sz w:val="16"/>
      <w:szCs w:val="16"/>
    </w:rPr>
  </w:style>
  <w:style w:type="character" w:styleId="FontStyle17">
    <w:name w:val="Font Style17"/>
    <w:rPr>
      <w:rFonts w:ascii="Arial" w:hAnsi="Arial" w:cs="Arial"/>
      <w:b/>
      <w:bCs/>
      <w:sz w:val="16"/>
      <w:szCs w:val="16"/>
    </w:rPr>
  </w:style>
  <w:style w:type="character" w:styleId="FontStyle14">
    <w:name w:val="Font Style14"/>
    <w:rPr>
      <w:rFonts w:ascii="Times New Roman" w:hAnsi="Times New Roman" w:cs="Times New Roman"/>
      <w:sz w:val="20"/>
      <w:szCs w:val="20"/>
    </w:rPr>
  </w:style>
  <w:style w:type="character" w:styleId="FontStyle12">
    <w:name w:val="Font Style12"/>
    <w:rPr>
      <w:rFonts w:ascii="Century Gothic" w:hAnsi="Century Gothic" w:cs="Century Gothic"/>
      <w:sz w:val="24"/>
      <w:szCs w:val="24"/>
    </w:rPr>
  </w:style>
  <w:style w:type="character" w:styleId="Heading1Char">
    <w:name w:val="Heading 1 Char"/>
    <w:rPr>
      <w:rFonts w:ascii="Arial" w:hAnsi="Arial" w:cs="Arial"/>
      <w:b/>
      <w:bCs/>
      <w:kern w:val="2"/>
      <w:sz w:val="32"/>
      <w:szCs w:val="32"/>
    </w:rPr>
  </w:style>
  <w:style w:type="character" w:styleId="spar">
    <w:name w:val="s_par"/>
    <w:basedOn w:val="DefaultParagraphFont"/>
    <w:rPr/>
  </w:style>
  <w:style w:type="character" w:styleId="slitbdy">
    <w:name w:val="s_lit_bdy"/>
    <w:basedOn w:val="DefaultParagraphFont"/>
    <w:rPr/>
  </w:style>
  <w:style w:type="character" w:styleId="BalloonTextChar">
    <w:name w:val="Balloon Text Char"/>
    <w:rPr>
      <w:rFonts w:ascii="Segoe UI" w:hAnsi="Segoe UI" w:cs="Segoe UI"/>
      <w:sz w:val="18"/>
      <w:szCs w:val="18"/>
    </w:rPr>
  </w:style>
  <w:style w:type="character" w:styleId="UnresolvedMention">
    <w:name w:val="Unresolved Mention"/>
    <w:rPr>
      <w:shd w:fill="E1DFDD" w:val="clear"/>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Quotation">
    <w:name w:val="Quotation"/>
    <w:rPr>
      <w:i/>
      <w:i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jc w:val="center"/>
    </w:pPr>
    <w:rPr>
      <w:rFonts w:ascii="Eurostyle;Arial Narrow" w:hAnsi="Eurostyle;Arial Narrow" w:cs="Eurostyle;Arial Narrow"/>
      <w:b/>
      <w:sz w:val="24"/>
    </w:rPr>
  </w:style>
  <w:style w:type="paragraph" w:styleId="BodyText">
    <w:name w:val="Body Text"/>
    <w:basedOn w:val="Normal"/>
    <w:pPr>
      <w:tabs>
        <w:tab w:val="clear" w:pos="720"/>
        <w:tab w:val="left" w:pos="851" w:leader="none"/>
      </w:tabs>
      <w:spacing w:before="120" w:after="0"/>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odyText3">
    <w:name w:val="Body Text 3"/>
    <w:basedOn w:val="Normal"/>
    <w:pPr>
      <w:spacing w:lineRule="atLeast" w:line="300" w:before="220" w:after="120"/>
      <w:jc w:val="both"/>
    </w:pPr>
    <w:rPr>
      <w:rFonts w:ascii="Arial" w:hAnsi="Arial" w:cs="Arial"/>
      <w:sz w:val="16"/>
      <w:szCs w:val="16"/>
      <w:lang w:val="de-DE"/>
    </w:rPr>
  </w:style>
  <w:style w:type="paragraph" w:styleId="BlockText">
    <w:name w:val="Block Text"/>
    <w:basedOn w:val="Normal"/>
    <w:pPr>
      <w:ind w:hanging="0" w:left="1260" w:right="-900"/>
    </w:pPr>
    <w:rPr>
      <w:b/>
      <w:bCs/>
      <w:lang w:val="ro-RO"/>
    </w:rPr>
  </w:style>
  <w:style w:type="paragraph" w:styleId="NormalWeb">
    <w:name w:val="Normal (Web)"/>
    <w:basedOn w:val="Normal"/>
    <w:pPr>
      <w:spacing w:before="280" w:after="280"/>
    </w:pPr>
    <w:rPr>
      <w:sz w:val="24"/>
      <w:szCs w:val="24"/>
    </w:rPr>
  </w:style>
  <w:style w:type="paragraph" w:styleId="BodyTextIndent">
    <w:name w:val="Body Text Indent"/>
    <w:basedOn w:val="Normal"/>
    <w:pPr>
      <w:tabs>
        <w:tab w:val="clear" w:pos="720"/>
        <w:tab w:val="left" w:pos="709" w:leader="none"/>
      </w:tabs>
      <w:spacing w:before="120" w:after="0"/>
      <w:ind w:hanging="709" w:left="709" w:right="0"/>
    </w:pPr>
    <w:rPr>
      <w:sz w:val="28"/>
    </w:rPr>
  </w:style>
  <w:style w:type="paragraph" w:styleId="BodyTextIndent2">
    <w:name w:val="Body Text Indent 2"/>
    <w:basedOn w:val="Normal"/>
    <w:pPr>
      <w:tabs>
        <w:tab w:val="clear" w:pos="720"/>
        <w:tab w:val="left" w:pos="1560" w:leader="none"/>
      </w:tabs>
      <w:ind w:hanging="709" w:left="993" w:right="0"/>
    </w:pPr>
    <w:rPr>
      <w:sz w:val="28"/>
    </w:rPr>
  </w:style>
  <w:style w:type="paragraph" w:styleId="BodyTextIndent3">
    <w:name w:val="Body Text Indent 3"/>
    <w:basedOn w:val="Normal"/>
    <w:pPr>
      <w:tabs>
        <w:tab w:val="clear" w:pos="720"/>
        <w:tab w:val="left" w:pos="1134" w:leader="none"/>
      </w:tabs>
      <w:ind w:hanging="851" w:left="851" w:right="0"/>
    </w:pPr>
    <w:rPr>
      <w:sz w:val="28"/>
    </w:rPr>
  </w:style>
  <w:style w:type="paragraph" w:styleId="Subtitle">
    <w:name w:val="Subtitle"/>
    <w:basedOn w:val="Normal"/>
    <w:next w:val="BodyText"/>
    <w:pPr>
      <w:jc w:val="center"/>
      <w:outlineLvl w:val="0"/>
    </w:pPr>
    <w:rPr>
      <w:rFonts w:ascii="Eurostyle;Arial Narrow" w:hAnsi="Eurostyle;Arial Narrow" w:cs="Eurostyle;Arial Narrow"/>
      <w:b/>
      <w:sz w:val="32"/>
    </w:rPr>
  </w:style>
  <w:style w:type="paragraph" w:styleId="BodyText2">
    <w:name w:val="Body Text 2"/>
    <w:basedOn w:val="Normal"/>
    <w:pPr>
      <w:jc w:val="both"/>
    </w:pPr>
    <w:rPr>
      <w:sz w:val="28"/>
    </w:rPr>
  </w:style>
  <w:style w:type="paragraph" w:styleId="NormalWeb2">
    <w:name w:val="Normal (Web)2"/>
    <w:basedOn w:val="Normal"/>
    <w:pPr>
      <w:spacing w:before="140" w:after="140"/>
      <w:ind w:hanging="0" w:left="140" w:right="140"/>
    </w:pPr>
    <w:rPr>
      <w:sz w:val="24"/>
      <w:szCs w:val="24"/>
      <w:lang w:val="ro-RO"/>
    </w:rPr>
  </w:style>
  <w:style w:type="paragraph" w:styleId="icon">
    <w:name w:val="icon"/>
    <w:basedOn w:val="Normal"/>
    <w:pPr>
      <w:spacing w:before="280" w:after="280"/>
    </w:pPr>
    <w:rPr>
      <w:vanish/>
      <w:color w:val="000000"/>
      <w:sz w:val="24"/>
      <w:szCs w:val="24"/>
    </w:rPr>
  </w:style>
  <w:style w:type="paragraph" w:styleId="child">
    <w:name w:val="child"/>
    <w:basedOn w:val="Normal"/>
    <w:pPr>
      <w:spacing w:before="280" w:after="280"/>
      <w:jc w:val="both"/>
    </w:pPr>
    <w:rPr>
      <w:color w:val="000000"/>
      <w:sz w:val="24"/>
      <w:szCs w:val="24"/>
    </w:rPr>
  </w:style>
  <w:style w:type="paragraph" w:styleId="item">
    <w:name w:val="item"/>
    <w:basedOn w:val="Normal"/>
    <w:pPr>
      <w:spacing w:before="280" w:after="280"/>
    </w:pPr>
    <w:rPr>
      <w:color w:val="000000"/>
      <w:sz w:val="24"/>
      <w:szCs w:val="24"/>
    </w:rPr>
  </w:style>
  <w:style w:type="paragraph" w:styleId="parent">
    <w:name w:val="parent"/>
    <w:basedOn w:val="Normal"/>
    <w:pPr>
      <w:spacing w:before="280" w:after="280"/>
    </w:pPr>
    <w:rPr>
      <w:color w:val="000000"/>
      <w:sz w:val="24"/>
      <w:szCs w:val="24"/>
    </w:rPr>
  </w:style>
  <w:style w:type="paragraph" w:styleId="highlight">
    <w:name w:val="highlight"/>
    <w:basedOn w:val="Normal"/>
    <w:pPr>
      <w:shd w:val="clear" w:fill="CCCCCC"/>
      <w:spacing w:before="280" w:after="280"/>
    </w:pPr>
    <w:rPr>
      <w:color w:val="000000"/>
      <w:sz w:val="24"/>
      <w:szCs w:val="24"/>
    </w:rPr>
  </w:style>
  <w:style w:type="paragraph" w:styleId="lego">
    <w:name w:val="lego"/>
    <w:basedOn w:val="Normal"/>
    <w:pPr>
      <w:spacing w:before="280" w:after="280"/>
    </w:pPr>
    <w:rPr>
      <w:i/>
      <w:iCs/>
      <w:color w:val="6666FF"/>
      <w:sz w:val="18"/>
      <w:szCs w:val="18"/>
    </w:rPr>
  </w:style>
  <w:style w:type="paragraph" w:styleId="do">
    <w:name w:val="do"/>
    <w:basedOn w:val="Normal"/>
    <w:pPr>
      <w:spacing w:before="280" w:after="280"/>
      <w:jc w:val="center"/>
    </w:pPr>
    <w:rPr>
      <w:b/>
      <w:bCs/>
      <w:color w:val="000000"/>
      <w:sz w:val="26"/>
      <w:szCs w:val="26"/>
    </w:rPr>
  </w:style>
  <w:style w:type="paragraph" w:styleId="tdo">
    <w:name w:val="tdo"/>
    <w:basedOn w:val="Normal"/>
    <w:pPr>
      <w:spacing w:before="280" w:after="280"/>
      <w:jc w:val="center"/>
    </w:pPr>
    <w:rPr>
      <w:b/>
      <w:bCs/>
      <w:color w:val="000000"/>
      <w:sz w:val="26"/>
      <w:szCs w:val="26"/>
    </w:rPr>
  </w:style>
  <w:style w:type="paragraph" w:styleId="doa">
    <w:name w:val="doa"/>
    <w:basedOn w:val="Normal"/>
    <w:pPr>
      <w:spacing w:before="280" w:after="280"/>
      <w:jc w:val="center"/>
    </w:pPr>
    <w:rPr>
      <w:b/>
      <w:bCs/>
      <w:strike/>
      <w:color w:val="DC143C"/>
      <w:sz w:val="26"/>
      <w:szCs w:val="26"/>
    </w:rPr>
  </w:style>
  <w:style w:type="paragraph" w:styleId="tdoa">
    <w:name w:val="tdoa"/>
    <w:basedOn w:val="Normal"/>
    <w:pPr>
      <w:spacing w:before="280" w:after="280"/>
      <w:jc w:val="center"/>
    </w:pPr>
    <w:rPr>
      <w:b/>
      <w:bCs/>
      <w:strike/>
      <w:color w:val="DC143C"/>
      <w:sz w:val="26"/>
      <w:szCs w:val="26"/>
    </w:rPr>
  </w:style>
  <w:style w:type="paragraph" w:styleId="so">
    <w:name w:val="so"/>
    <w:basedOn w:val="Normal"/>
    <w:pPr>
      <w:spacing w:before="280" w:after="280"/>
    </w:pPr>
    <w:rPr>
      <w:b/>
      <w:bCs/>
      <w:color w:val="000000"/>
      <w:sz w:val="24"/>
      <w:szCs w:val="24"/>
    </w:rPr>
  </w:style>
  <w:style w:type="paragraph" w:styleId="tso">
    <w:name w:val="tso"/>
    <w:basedOn w:val="Normal"/>
    <w:pPr>
      <w:spacing w:before="280" w:after="280"/>
    </w:pPr>
    <w:rPr>
      <w:b/>
      <w:bCs/>
      <w:color w:val="000000"/>
      <w:sz w:val="24"/>
      <w:szCs w:val="24"/>
    </w:rPr>
  </w:style>
  <w:style w:type="paragraph" w:styleId="soa">
    <w:name w:val="soa"/>
    <w:basedOn w:val="Normal"/>
    <w:pPr>
      <w:spacing w:before="280" w:after="280"/>
    </w:pPr>
    <w:rPr>
      <w:b/>
      <w:bCs/>
      <w:strike/>
      <w:color w:val="DC143C"/>
      <w:sz w:val="24"/>
      <w:szCs w:val="24"/>
    </w:rPr>
  </w:style>
  <w:style w:type="paragraph" w:styleId="tsoa">
    <w:name w:val="tsoa"/>
    <w:basedOn w:val="Normal"/>
    <w:pPr>
      <w:spacing w:before="280" w:after="280"/>
    </w:pPr>
    <w:rPr>
      <w:b/>
      <w:bCs/>
      <w:strike/>
      <w:color w:val="DC143C"/>
      <w:sz w:val="24"/>
      <w:szCs w:val="24"/>
    </w:rPr>
  </w:style>
  <w:style w:type="paragraph" w:styleId="tt">
    <w:name w:val="tt"/>
    <w:basedOn w:val="Normal"/>
    <w:pPr>
      <w:spacing w:before="280" w:after="280"/>
    </w:pPr>
    <w:rPr>
      <w:b/>
      <w:bCs/>
      <w:color w:val="000000"/>
      <w:sz w:val="26"/>
      <w:szCs w:val="26"/>
    </w:rPr>
  </w:style>
  <w:style w:type="paragraph" w:styleId="ttt">
    <w:name w:val="ttt"/>
    <w:basedOn w:val="Normal"/>
    <w:pPr>
      <w:spacing w:before="280" w:after="280"/>
    </w:pPr>
    <w:rPr>
      <w:b/>
      <w:bCs/>
      <w:color w:val="000000"/>
      <w:sz w:val="26"/>
      <w:szCs w:val="26"/>
    </w:rPr>
  </w:style>
  <w:style w:type="paragraph" w:styleId="tta">
    <w:name w:val="tta"/>
    <w:basedOn w:val="Normal"/>
    <w:pPr>
      <w:spacing w:before="280" w:after="280"/>
    </w:pPr>
    <w:rPr>
      <w:b/>
      <w:bCs/>
      <w:strike/>
      <w:color w:val="DC143C"/>
      <w:sz w:val="26"/>
      <w:szCs w:val="26"/>
    </w:rPr>
  </w:style>
  <w:style w:type="paragraph" w:styleId="ttta">
    <w:name w:val="ttta"/>
    <w:basedOn w:val="Normal"/>
    <w:pPr>
      <w:spacing w:before="280" w:after="280"/>
    </w:pPr>
    <w:rPr>
      <w:b/>
      <w:bCs/>
      <w:strike/>
      <w:color w:val="DC143C"/>
      <w:sz w:val="26"/>
      <w:szCs w:val="26"/>
    </w:rPr>
  </w:style>
  <w:style w:type="paragraph" w:styleId="st">
    <w:name w:val="st"/>
    <w:basedOn w:val="Normal"/>
    <w:pPr>
      <w:spacing w:before="280" w:after="280"/>
    </w:pPr>
    <w:rPr>
      <w:b/>
      <w:bCs/>
      <w:color w:val="000000"/>
      <w:sz w:val="24"/>
      <w:szCs w:val="24"/>
    </w:rPr>
  </w:style>
  <w:style w:type="paragraph" w:styleId="tst">
    <w:name w:val="tst"/>
    <w:basedOn w:val="Normal"/>
    <w:pPr>
      <w:spacing w:before="280" w:after="280"/>
    </w:pPr>
    <w:rPr>
      <w:b/>
      <w:bCs/>
      <w:color w:val="000000"/>
      <w:sz w:val="24"/>
      <w:szCs w:val="24"/>
    </w:rPr>
  </w:style>
  <w:style w:type="paragraph" w:styleId="sta">
    <w:name w:val="sta"/>
    <w:basedOn w:val="Normal"/>
    <w:pPr>
      <w:spacing w:before="280" w:after="280"/>
    </w:pPr>
    <w:rPr>
      <w:b/>
      <w:bCs/>
      <w:strike/>
      <w:color w:val="DC143C"/>
      <w:sz w:val="24"/>
      <w:szCs w:val="24"/>
    </w:rPr>
  </w:style>
  <w:style w:type="paragraph" w:styleId="tsta">
    <w:name w:val="tsta"/>
    <w:basedOn w:val="Normal"/>
    <w:pPr>
      <w:spacing w:before="280" w:after="280"/>
    </w:pPr>
    <w:rPr>
      <w:b/>
      <w:bCs/>
      <w:strike/>
      <w:color w:val="DC143C"/>
      <w:sz w:val="24"/>
      <w:szCs w:val="24"/>
    </w:rPr>
  </w:style>
  <w:style w:type="paragraph" w:styleId="ax">
    <w:name w:val="ax"/>
    <w:basedOn w:val="Normal"/>
    <w:pPr>
      <w:spacing w:before="280" w:after="280"/>
    </w:pPr>
    <w:rPr>
      <w:b/>
      <w:bCs/>
      <w:color w:val="000000"/>
      <w:sz w:val="26"/>
      <w:szCs w:val="26"/>
    </w:rPr>
  </w:style>
  <w:style w:type="paragraph" w:styleId="tax">
    <w:name w:val="tax"/>
    <w:basedOn w:val="Normal"/>
    <w:pPr>
      <w:spacing w:before="280" w:after="280"/>
    </w:pPr>
    <w:rPr>
      <w:b/>
      <w:bCs/>
      <w:color w:val="000000"/>
      <w:sz w:val="26"/>
      <w:szCs w:val="26"/>
    </w:rPr>
  </w:style>
  <w:style w:type="paragraph" w:styleId="axa">
    <w:name w:val="axa"/>
    <w:basedOn w:val="Normal"/>
    <w:pPr>
      <w:spacing w:before="280" w:after="280"/>
    </w:pPr>
    <w:rPr>
      <w:b/>
      <w:bCs/>
      <w:strike/>
      <w:color w:val="DC143C"/>
      <w:sz w:val="26"/>
      <w:szCs w:val="26"/>
    </w:rPr>
  </w:style>
  <w:style w:type="paragraph" w:styleId="taxa">
    <w:name w:val="taxa"/>
    <w:basedOn w:val="Normal"/>
    <w:pPr>
      <w:spacing w:before="280" w:after="280"/>
    </w:pPr>
    <w:rPr>
      <w:b/>
      <w:bCs/>
      <w:strike/>
      <w:color w:val="DC143C"/>
      <w:sz w:val="26"/>
      <w:szCs w:val="26"/>
    </w:rPr>
  </w:style>
  <w:style w:type="paragraph" w:styleId="pe">
    <w:name w:val="pe"/>
    <w:basedOn w:val="Normal"/>
    <w:pPr>
      <w:spacing w:before="280" w:after="280"/>
    </w:pPr>
    <w:rPr>
      <w:b/>
      <w:bCs/>
      <w:color w:val="000000"/>
      <w:sz w:val="26"/>
      <w:szCs w:val="26"/>
    </w:rPr>
  </w:style>
  <w:style w:type="paragraph" w:styleId="tpe">
    <w:name w:val="tpe"/>
    <w:basedOn w:val="Normal"/>
    <w:pPr>
      <w:spacing w:before="280" w:after="280"/>
    </w:pPr>
    <w:rPr>
      <w:b/>
      <w:bCs/>
      <w:color w:val="000000"/>
      <w:sz w:val="26"/>
      <w:szCs w:val="26"/>
    </w:rPr>
  </w:style>
  <w:style w:type="paragraph" w:styleId="pea">
    <w:name w:val="pea"/>
    <w:basedOn w:val="Normal"/>
    <w:pPr>
      <w:spacing w:before="280" w:after="280"/>
    </w:pPr>
    <w:rPr>
      <w:b/>
      <w:bCs/>
      <w:strike/>
      <w:color w:val="DC143C"/>
      <w:sz w:val="26"/>
      <w:szCs w:val="26"/>
    </w:rPr>
  </w:style>
  <w:style w:type="paragraph" w:styleId="tpea">
    <w:name w:val="tpea"/>
    <w:basedOn w:val="Normal"/>
    <w:pPr>
      <w:spacing w:before="280" w:after="280"/>
    </w:pPr>
    <w:rPr>
      <w:b/>
      <w:bCs/>
      <w:strike/>
      <w:color w:val="DC143C"/>
      <w:sz w:val="26"/>
      <w:szCs w:val="26"/>
    </w:rPr>
  </w:style>
  <w:style w:type="paragraph" w:styleId="se">
    <w:name w:val="se"/>
    <w:basedOn w:val="Normal"/>
    <w:pPr>
      <w:spacing w:before="280" w:after="280"/>
    </w:pPr>
    <w:rPr>
      <w:b/>
      <w:bCs/>
      <w:color w:val="000000"/>
      <w:sz w:val="24"/>
      <w:szCs w:val="24"/>
    </w:rPr>
  </w:style>
  <w:style w:type="paragraph" w:styleId="tse">
    <w:name w:val="tse"/>
    <w:basedOn w:val="Normal"/>
    <w:pPr>
      <w:spacing w:before="280" w:after="280"/>
    </w:pPr>
    <w:rPr>
      <w:b/>
      <w:bCs/>
      <w:color w:val="000000"/>
      <w:sz w:val="24"/>
      <w:szCs w:val="24"/>
    </w:rPr>
  </w:style>
  <w:style w:type="paragraph" w:styleId="sea">
    <w:name w:val="sea"/>
    <w:basedOn w:val="Normal"/>
    <w:pPr>
      <w:spacing w:before="280" w:after="280"/>
    </w:pPr>
    <w:rPr>
      <w:b/>
      <w:bCs/>
      <w:strike/>
      <w:color w:val="DC143C"/>
      <w:sz w:val="24"/>
      <w:szCs w:val="24"/>
    </w:rPr>
  </w:style>
  <w:style w:type="paragraph" w:styleId="tsea">
    <w:name w:val="tsea"/>
    <w:basedOn w:val="Normal"/>
    <w:pPr>
      <w:spacing w:before="280" w:after="280"/>
    </w:pPr>
    <w:rPr>
      <w:b/>
      <w:bCs/>
      <w:strike/>
      <w:color w:val="DC143C"/>
      <w:sz w:val="24"/>
      <w:szCs w:val="24"/>
    </w:rPr>
  </w:style>
  <w:style w:type="paragraph" w:styleId="ca">
    <w:name w:val="ca"/>
    <w:basedOn w:val="Normal"/>
    <w:pPr>
      <w:spacing w:before="280" w:after="280"/>
    </w:pPr>
    <w:rPr>
      <w:b/>
      <w:bCs/>
      <w:color w:val="005F00"/>
      <w:sz w:val="24"/>
      <w:szCs w:val="24"/>
    </w:rPr>
  </w:style>
  <w:style w:type="paragraph" w:styleId="tca">
    <w:name w:val="tca"/>
    <w:basedOn w:val="Normal"/>
    <w:pPr>
      <w:spacing w:before="280" w:after="280"/>
    </w:pPr>
    <w:rPr>
      <w:b/>
      <w:bCs/>
      <w:color w:val="000000"/>
      <w:sz w:val="24"/>
      <w:szCs w:val="24"/>
    </w:rPr>
  </w:style>
  <w:style w:type="paragraph" w:styleId="caa">
    <w:name w:val="caa"/>
    <w:basedOn w:val="Normal"/>
    <w:pPr>
      <w:spacing w:before="280" w:after="280"/>
    </w:pPr>
    <w:rPr>
      <w:b/>
      <w:bCs/>
      <w:strike/>
      <w:color w:val="DC143C"/>
      <w:sz w:val="24"/>
      <w:szCs w:val="24"/>
    </w:rPr>
  </w:style>
  <w:style w:type="paragraph" w:styleId="tcaa">
    <w:name w:val="tcaa"/>
    <w:basedOn w:val="Normal"/>
    <w:pPr>
      <w:spacing w:before="280" w:after="280"/>
    </w:pPr>
    <w:rPr>
      <w:b/>
      <w:bCs/>
      <w:strike/>
      <w:color w:val="DC143C"/>
      <w:sz w:val="24"/>
      <w:szCs w:val="24"/>
    </w:rPr>
  </w:style>
  <w:style w:type="paragraph" w:styleId="sc">
    <w:name w:val="sc"/>
    <w:basedOn w:val="Normal"/>
    <w:pPr>
      <w:spacing w:before="280" w:after="280"/>
    </w:pPr>
    <w:rPr>
      <w:b/>
      <w:bCs/>
      <w:color w:val="000000"/>
      <w:sz w:val="22"/>
      <w:szCs w:val="22"/>
    </w:rPr>
  </w:style>
  <w:style w:type="paragraph" w:styleId="tsc">
    <w:name w:val="tsc"/>
    <w:basedOn w:val="Normal"/>
    <w:pPr>
      <w:spacing w:before="280" w:after="280"/>
    </w:pPr>
    <w:rPr>
      <w:b/>
      <w:bCs/>
      <w:color w:val="000000"/>
      <w:sz w:val="22"/>
      <w:szCs w:val="22"/>
    </w:rPr>
  </w:style>
  <w:style w:type="paragraph" w:styleId="sca">
    <w:name w:val="sca"/>
    <w:basedOn w:val="Normal"/>
    <w:pPr>
      <w:spacing w:before="280" w:after="280"/>
    </w:pPr>
    <w:rPr>
      <w:b/>
      <w:bCs/>
      <w:strike/>
      <w:color w:val="DC143C"/>
      <w:sz w:val="22"/>
      <w:szCs w:val="22"/>
    </w:rPr>
  </w:style>
  <w:style w:type="paragraph" w:styleId="tsca">
    <w:name w:val="tsca"/>
    <w:basedOn w:val="Normal"/>
    <w:pPr>
      <w:spacing w:before="280" w:after="280"/>
    </w:pPr>
    <w:rPr>
      <w:b/>
      <w:bCs/>
      <w:strike/>
      <w:color w:val="DC143C"/>
      <w:sz w:val="22"/>
      <w:szCs w:val="22"/>
    </w:rPr>
  </w:style>
  <w:style w:type="paragraph" w:styleId="si">
    <w:name w:val="si"/>
    <w:basedOn w:val="Normal"/>
    <w:pPr>
      <w:spacing w:before="280" w:after="280"/>
    </w:pPr>
    <w:rPr>
      <w:b/>
      <w:bCs/>
      <w:color w:val="000000"/>
      <w:sz w:val="24"/>
      <w:szCs w:val="24"/>
    </w:rPr>
  </w:style>
  <w:style w:type="paragraph" w:styleId="tsi">
    <w:name w:val="tsi"/>
    <w:basedOn w:val="Normal"/>
    <w:pPr>
      <w:spacing w:before="280" w:after="280"/>
    </w:pPr>
    <w:rPr>
      <w:b/>
      <w:bCs/>
      <w:color w:val="000000"/>
      <w:sz w:val="24"/>
      <w:szCs w:val="24"/>
    </w:rPr>
  </w:style>
  <w:style w:type="paragraph" w:styleId="sia">
    <w:name w:val="sia"/>
    <w:basedOn w:val="Normal"/>
    <w:pPr>
      <w:spacing w:before="280" w:after="280"/>
    </w:pPr>
    <w:rPr>
      <w:b/>
      <w:bCs/>
      <w:strike/>
      <w:color w:val="DC143C"/>
      <w:sz w:val="24"/>
      <w:szCs w:val="24"/>
    </w:rPr>
  </w:style>
  <w:style w:type="paragraph" w:styleId="tsia">
    <w:name w:val="tsia"/>
    <w:basedOn w:val="Normal"/>
    <w:pPr>
      <w:spacing w:before="280" w:after="280"/>
    </w:pPr>
    <w:rPr>
      <w:b/>
      <w:bCs/>
      <w:strike/>
      <w:color w:val="DC143C"/>
      <w:sz w:val="24"/>
      <w:szCs w:val="24"/>
    </w:rPr>
  </w:style>
  <w:style w:type="paragraph" w:styleId="ss">
    <w:name w:val="ss"/>
    <w:basedOn w:val="Normal"/>
    <w:pPr>
      <w:spacing w:before="280" w:after="280"/>
    </w:pPr>
    <w:rPr>
      <w:b/>
      <w:bCs/>
      <w:color w:val="000000"/>
      <w:sz w:val="22"/>
      <w:szCs w:val="22"/>
    </w:rPr>
  </w:style>
  <w:style w:type="paragraph" w:styleId="tss">
    <w:name w:val="tss"/>
    <w:basedOn w:val="Normal"/>
    <w:pPr>
      <w:spacing w:before="280" w:after="280"/>
    </w:pPr>
    <w:rPr>
      <w:b/>
      <w:bCs/>
      <w:color w:val="000000"/>
      <w:sz w:val="22"/>
      <w:szCs w:val="22"/>
    </w:rPr>
  </w:style>
  <w:style w:type="paragraph" w:styleId="ssa">
    <w:name w:val="ssa"/>
    <w:basedOn w:val="Normal"/>
    <w:pPr>
      <w:spacing w:before="280" w:after="280"/>
    </w:pPr>
    <w:rPr>
      <w:b/>
      <w:bCs/>
      <w:strike/>
      <w:color w:val="DC143C"/>
      <w:sz w:val="22"/>
      <w:szCs w:val="22"/>
    </w:rPr>
  </w:style>
  <w:style w:type="paragraph" w:styleId="tssa">
    <w:name w:val="tssa"/>
    <w:basedOn w:val="Normal"/>
    <w:pPr>
      <w:spacing w:before="280" w:after="280"/>
    </w:pPr>
    <w:rPr>
      <w:b/>
      <w:bCs/>
      <w:strike/>
      <w:color w:val="DC143C"/>
      <w:sz w:val="22"/>
      <w:szCs w:val="22"/>
    </w:rPr>
  </w:style>
  <w:style w:type="paragraph" w:styleId="ar">
    <w:name w:val="ar"/>
    <w:basedOn w:val="Normal"/>
    <w:pPr>
      <w:spacing w:before="280" w:after="280"/>
    </w:pPr>
    <w:rPr>
      <w:b/>
      <w:bCs/>
      <w:color w:val="0000AF"/>
      <w:sz w:val="22"/>
      <w:szCs w:val="22"/>
    </w:rPr>
  </w:style>
  <w:style w:type="paragraph" w:styleId="tar">
    <w:name w:val="tar"/>
    <w:basedOn w:val="Normal"/>
    <w:pPr>
      <w:spacing w:before="280" w:after="280"/>
    </w:pPr>
    <w:rPr>
      <w:b/>
      <w:bCs/>
      <w:color w:val="000000"/>
      <w:sz w:val="22"/>
      <w:szCs w:val="22"/>
    </w:rPr>
  </w:style>
  <w:style w:type="paragraph" w:styleId="ara">
    <w:name w:val="ara"/>
    <w:basedOn w:val="Normal"/>
    <w:pPr>
      <w:spacing w:before="280" w:after="280"/>
    </w:pPr>
    <w:rPr>
      <w:b/>
      <w:bCs/>
      <w:strike/>
      <w:color w:val="DC143C"/>
      <w:sz w:val="22"/>
      <w:szCs w:val="22"/>
    </w:rPr>
  </w:style>
  <w:style w:type="paragraph" w:styleId="tara">
    <w:name w:val="tara"/>
    <w:basedOn w:val="Normal"/>
    <w:pPr>
      <w:spacing w:before="280" w:after="280"/>
    </w:pPr>
    <w:rPr>
      <w:b/>
      <w:bCs/>
      <w:strike/>
      <w:color w:val="DC143C"/>
      <w:sz w:val="22"/>
      <w:szCs w:val="22"/>
    </w:rPr>
  </w:style>
  <w:style w:type="paragraph" w:styleId="sr">
    <w:name w:val="sr"/>
    <w:basedOn w:val="Normal"/>
    <w:pPr>
      <w:spacing w:before="280" w:after="280"/>
    </w:pPr>
    <w:rPr>
      <w:b/>
      <w:bCs/>
      <w:color w:val="000000"/>
    </w:rPr>
  </w:style>
  <w:style w:type="paragraph" w:styleId="tsr">
    <w:name w:val="tsr"/>
    <w:basedOn w:val="Normal"/>
    <w:pPr>
      <w:spacing w:before="280" w:after="280"/>
    </w:pPr>
    <w:rPr>
      <w:b/>
      <w:bCs/>
      <w:color w:val="000000"/>
    </w:rPr>
  </w:style>
  <w:style w:type="paragraph" w:styleId="sra">
    <w:name w:val="sra"/>
    <w:basedOn w:val="Normal"/>
    <w:pPr>
      <w:spacing w:before="280" w:after="280"/>
    </w:pPr>
    <w:rPr>
      <w:b/>
      <w:bCs/>
      <w:strike/>
      <w:color w:val="DC143C"/>
    </w:rPr>
  </w:style>
  <w:style w:type="paragraph" w:styleId="tsra">
    <w:name w:val="tsra"/>
    <w:basedOn w:val="Normal"/>
    <w:pPr>
      <w:spacing w:before="280" w:after="280"/>
    </w:pPr>
    <w:rPr>
      <w:b/>
      <w:bCs/>
      <w:strike/>
      <w:color w:val="DC143C"/>
    </w:rPr>
  </w:style>
  <w:style w:type="paragraph" w:styleId="nt">
    <w:name w:val="nt"/>
    <w:basedOn w:val="Normal"/>
    <w:pPr>
      <w:spacing w:before="280" w:after="280"/>
    </w:pPr>
    <w:rPr>
      <w:b/>
      <w:bCs/>
      <w:color w:val="000000"/>
      <w:sz w:val="18"/>
      <w:szCs w:val="18"/>
    </w:rPr>
  </w:style>
  <w:style w:type="paragraph" w:styleId="tnt">
    <w:name w:val="tnt"/>
    <w:basedOn w:val="Normal"/>
    <w:pPr>
      <w:spacing w:before="280" w:after="280"/>
    </w:pPr>
    <w:rPr>
      <w:b/>
      <w:bCs/>
      <w:color w:val="000000"/>
      <w:sz w:val="18"/>
      <w:szCs w:val="18"/>
    </w:rPr>
  </w:style>
  <w:style w:type="paragraph" w:styleId="nta">
    <w:name w:val="nta"/>
    <w:basedOn w:val="Normal"/>
    <w:pPr>
      <w:spacing w:before="280" w:after="280"/>
    </w:pPr>
    <w:rPr>
      <w:b/>
      <w:bCs/>
      <w:strike/>
      <w:color w:val="DC143C"/>
      <w:sz w:val="18"/>
      <w:szCs w:val="18"/>
    </w:rPr>
  </w:style>
  <w:style w:type="paragraph" w:styleId="tnta">
    <w:name w:val="tnta"/>
    <w:basedOn w:val="Normal"/>
    <w:pPr>
      <w:spacing w:before="280" w:after="280"/>
    </w:pPr>
    <w:rPr>
      <w:b/>
      <w:bCs/>
      <w:strike/>
      <w:color w:val="DC143C"/>
      <w:sz w:val="18"/>
      <w:szCs w:val="18"/>
    </w:rPr>
  </w:style>
  <w:style w:type="paragraph" w:styleId="ls">
    <w:name w:val="ls"/>
    <w:basedOn w:val="Normal"/>
    <w:pPr>
      <w:spacing w:before="280" w:after="280"/>
    </w:pPr>
    <w:rPr>
      <w:b/>
      <w:bCs/>
      <w:color w:val="000000"/>
    </w:rPr>
  </w:style>
  <w:style w:type="paragraph" w:styleId="tls">
    <w:name w:val="tls"/>
    <w:basedOn w:val="Normal"/>
    <w:pPr>
      <w:spacing w:before="280" w:after="280"/>
    </w:pPr>
    <w:rPr>
      <w:b/>
      <w:bCs/>
      <w:color w:val="000000"/>
    </w:rPr>
  </w:style>
  <w:style w:type="paragraph" w:styleId="lsa">
    <w:name w:val="lsa"/>
    <w:basedOn w:val="Normal"/>
    <w:pPr>
      <w:spacing w:before="280" w:after="280"/>
    </w:pPr>
    <w:rPr>
      <w:b/>
      <w:bCs/>
      <w:strike/>
      <w:color w:val="DC143C"/>
    </w:rPr>
  </w:style>
  <w:style w:type="paragraph" w:styleId="tlsa">
    <w:name w:val="tlsa"/>
    <w:basedOn w:val="Normal"/>
    <w:pPr>
      <w:spacing w:before="280" w:after="280"/>
    </w:pPr>
    <w:rPr>
      <w:b/>
      <w:bCs/>
      <w:strike/>
      <w:color w:val="DC143C"/>
    </w:rPr>
  </w:style>
  <w:style w:type="paragraph" w:styleId="ct">
    <w:name w:val="ct"/>
    <w:basedOn w:val="Normal"/>
    <w:pPr>
      <w:spacing w:before="280" w:after="280"/>
    </w:pPr>
    <w:rPr>
      <w:b/>
      <w:bCs/>
      <w:color w:val="000000"/>
      <w:sz w:val="26"/>
      <w:szCs w:val="26"/>
    </w:rPr>
  </w:style>
  <w:style w:type="paragraph" w:styleId="tct">
    <w:name w:val="tct"/>
    <w:basedOn w:val="Normal"/>
    <w:pPr>
      <w:spacing w:before="280" w:after="280"/>
    </w:pPr>
    <w:rPr>
      <w:b/>
      <w:bCs/>
      <w:color w:val="000000"/>
      <w:sz w:val="26"/>
      <w:szCs w:val="26"/>
    </w:rPr>
  </w:style>
  <w:style w:type="paragraph" w:styleId="cta">
    <w:name w:val="cta"/>
    <w:basedOn w:val="Normal"/>
    <w:pPr>
      <w:spacing w:before="280" w:after="280"/>
    </w:pPr>
    <w:rPr>
      <w:b/>
      <w:bCs/>
      <w:strike/>
      <w:color w:val="DC143C"/>
      <w:sz w:val="26"/>
      <w:szCs w:val="26"/>
    </w:rPr>
  </w:style>
  <w:style w:type="paragraph" w:styleId="tcta">
    <w:name w:val="tcta"/>
    <w:basedOn w:val="Normal"/>
    <w:pPr>
      <w:spacing w:before="280" w:after="280"/>
    </w:pPr>
    <w:rPr>
      <w:b/>
      <w:bCs/>
      <w:strike/>
      <w:color w:val="DC143C"/>
      <w:sz w:val="26"/>
      <w:szCs w:val="26"/>
    </w:rPr>
  </w:style>
  <w:style w:type="paragraph" w:styleId="ta">
    <w:name w:val="ta"/>
    <w:basedOn w:val="Normal"/>
    <w:pPr>
      <w:spacing w:before="280" w:after="280"/>
    </w:pPr>
    <w:rPr>
      <w:b/>
      <w:bCs/>
      <w:color w:val="000000"/>
    </w:rPr>
  </w:style>
  <w:style w:type="paragraph" w:styleId="tta0">
    <w:name w:val="tta0"/>
    <w:basedOn w:val="Normal"/>
    <w:pPr>
      <w:spacing w:before="280" w:after="280"/>
    </w:pPr>
    <w:rPr>
      <w:b/>
      <w:bCs/>
      <w:color w:val="000000"/>
    </w:rPr>
  </w:style>
  <w:style w:type="paragraph" w:styleId="taa">
    <w:name w:val="taa"/>
    <w:basedOn w:val="Normal"/>
    <w:pPr>
      <w:spacing w:before="280" w:after="280"/>
    </w:pPr>
    <w:rPr>
      <w:b/>
      <w:bCs/>
      <w:strike/>
      <w:color w:val="DC143C"/>
    </w:rPr>
  </w:style>
  <w:style w:type="paragraph" w:styleId="ttaa">
    <w:name w:val="ttaa"/>
    <w:basedOn w:val="Normal"/>
    <w:pPr>
      <w:spacing w:before="280" w:after="280"/>
    </w:pPr>
    <w:rPr>
      <w:b/>
      <w:bCs/>
      <w:strike/>
      <w:color w:val="DC143C"/>
    </w:rPr>
  </w:style>
  <w:style w:type="paragraph" w:styleId="tpa">
    <w:name w:val="tpa"/>
    <w:basedOn w:val="Normal"/>
    <w:pPr>
      <w:spacing w:before="280" w:after="280"/>
    </w:pPr>
    <w:rPr>
      <w:color w:val="000000"/>
      <w:sz w:val="24"/>
      <w:szCs w:val="24"/>
    </w:rPr>
  </w:style>
  <w:style w:type="paragraph" w:styleId="paa">
    <w:name w:val="paa"/>
    <w:basedOn w:val="Normal"/>
    <w:pPr>
      <w:spacing w:before="280" w:after="280"/>
    </w:pPr>
    <w:rPr>
      <w:strike/>
      <w:color w:val="DC143C"/>
      <w:sz w:val="24"/>
      <w:szCs w:val="24"/>
    </w:rPr>
  </w:style>
  <w:style w:type="paragraph" w:styleId="tpaa">
    <w:name w:val="tpaa"/>
    <w:basedOn w:val="Normal"/>
    <w:pPr>
      <w:spacing w:before="280" w:after="280"/>
    </w:pPr>
    <w:rPr>
      <w:strike/>
      <w:color w:val="DC143C"/>
      <w:sz w:val="24"/>
      <w:szCs w:val="24"/>
    </w:rPr>
  </w:style>
  <w:style w:type="paragraph" w:styleId="al">
    <w:name w:val="al"/>
    <w:basedOn w:val="Normal"/>
    <w:pPr>
      <w:spacing w:before="280" w:after="280"/>
    </w:pPr>
    <w:rPr>
      <w:b/>
      <w:bCs/>
      <w:color w:val="008F00"/>
      <w:sz w:val="24"/>
      <w:szCs w:val="24"/>
    </w:rPr>
  </w:style>
  <w:style w:type="paragraph" w:styleId="tal">
    <w:name w:val="tal"/>
    <w:basedOn w:val="Normal"/>
    <w:pPr>
      <w:spacing w:before="280" w:after="280"/>
    </w:pPr>
    <w:rPr>
      <w:color w:val="000000"/>
      <w:sz w:val="24"/>
      <w:szCs w:val="24"/>
    </w:rPr>
  </w:style>
  <w:style w:type="paragraph" w:styleId="ala">
    <w:name w:val="ala"/>
    <w:basedOn w:val="Normal"/>
    <w:pPr>
      <w:spacing w:before="280" w:after="280"/>
    </w:pPr>
    <w:rPr>
      <w:b/>
      <w:bCs/>
      <w:strike/>
      <w:color w:val="DC143C"/>
      <w:sz w:val="24"/>
      <w:szCs w:val="24"/>
    </w:rPr>
  </w:style>
  <w:style w:type="paragraph" w:styleId="tala">
    <w:name w:val="tala"/>
    <w:basedOn w:val="Normal"/>
    <w:pPr>
      <w:spacing w:before="280" w:after="280"/>
    </w:pPr>
    <w:rPr>
      <w:strike/>
      <w:color w:val="DC143C"/>
      <w:sz w:val="24"/>
      <w:szCs w:val="24"/>
    </w:rPr>
  </w:style>
  <w:style w:type="paragraph" w:styleId="li">
    <w:name w:val="li"/>
    <w:basedOn w:val="Normal"/>
    <w:pPr>
      <w:spacing w:before="280" w:after="280"/>
    </w:pPr>
    <w:rPr>
      <w:b/>
      <w:bCs/>
      <w:color w:val="8F0000"/>
      <w:sz w:val="24"/>
      <w:szCs w:val="24"/>
    </w:rPr>
  </w:style>
  <w:style w:type="paragraph" w:styleId="tli">
    <w:name w:val="tli"/>
    <w:basedOn w:val="Normal"/>
    <w:pPr>
      <w:spacing w:before="280" w:after="280"/>
    </w:pPr>
    <w:rPr>
      <w:color w:val="000000"/>
      <w:sz w:val="24"/>
      <w:szCs w:val="24"/>
    </w:rPr>
  </w:style>
  <w:style w:type="paragraph" w:styleId="lia">
    <w:name w:val="lia"/>
    <w:basedOn w:val="Normal"/>
    <w:pPr>
      <w:spacing w:before="280" w:after="280"/>
    </w:pPr>
    <w:rPr>
      <w:b/>
      <w:bCs/>
      <w:strike/>
      <w:color w:val="DC143C"/>
      <w:sz w:val="24"/>
      <w:szCs w:val="24"/>
    </w:rPr>
  </w:style>
  <w:style w:type="paragraph" w:styleId="tlia">
    <w:name w:val="tlia"/>
    <w:basedOn w:val="Normal"/>
    <w:pPr>
      <w:spacing w:before="280" w:after="280"/>
    </w:pPr>
    <w:rPr>
      <w:strike/>
      <w:color w:val="DC143C"/>
      <w:sz w:val="24"/>
      <w:szCs w:val="24"/>
    </w:rPr>
  </w:style>
  <w:style w:type="paragraph" w:styleId="lt">
    <w:name w:val="lt"/>
    <w:basedOn w:val="Normal"/>
    <w:pPr>
      <w:spacing w:before="280" w:after="280"/>
    </w:pPr>
    <w:rPr>
      <w:b/>
      <w:bCs/>
      <w:color w:val="8F0000"/>
      <w:sz w:val="24"/>
      <w:szCs w:val="24"/>
    </w:rPr>
  </w:style>
  <w:style w:type="paragraph" w:styleId="tlt">
    <w:name w:val="tlt"/>
    <w:basedOn w:val="Normal"/>
    <w:pPr>
      <w:spacing w:before="280" w:after="280"/>
    </w:pPr>
    <w:rPr>
      <w:color w:val="000000"/>
      <w:sz w:val="24"/>
      <w:szCs w:val="24"/>
    </w:rPr>
  </w:style>
  <w:style w:type="paragraph" w:styleId="lta">
    <w:name w:val="lta"/>
    <w:basedOn w:val="Normal"/>
    <w:pPr>
      <w:spacing w:before="280" w:after="280"/>
    </w:pPr>
    <w:rPr>
      <w:b/>
      <w:bCs/>
      <w:strike/>
      <w:color w:val="DC143C"/>
      <w:sz w:val="24"/>
      <w:szCs w:val="24"/>
    </w:rPr>
  </w:style>
  <w:style w:type="paragraph" w:styleId="tlta">
    <w:name w:val="tlta"/>
    <w:basedOn w:val="Normal"/>
    <w:pPr>
      <w:spacing w:before="280" w:after="280"/>
    </w:pPr>
    <w:rPr>
      <w:strike/>
      <w:color w:val="DC143C"/>
      <w:sz w:val="24"/>
      <w:szCs w:val="24"/>
    </w:rPr>
  </w:style>
  <w:style w:type="paragraph" w:styleId="pt">
    <w:name w:val="pt"/>
    <w:basedOn w:val="Normal"/>
    <w:pPr>
      <w:spacing w:before="280" w:after="280"/>
    </w:pPr>
    <w:rPr>
      <w:b/>
      <w:bCs/>
      <w:color w:val="8F0000"/>
      <w:sz w:val="24"/>
      <w:szCs w:val="24"/>
    </w:rPr>
  </w:style>
  <w:style w:type="paragraph" w:styleId="tpt">
    <w:name w:val="tpt"/>
    <w:basedOn w:val="Normal"/>
    <w:pPr>
      <w:spacing w:before="280" w:after="280"/>
    </w:pPr>
    <w:rPr>
      <w:color w:val="000000"/>
      <w:sz w:val="24"/>
      <w:szCs w:val="24"/>
    </w:rPr>
  </w:style>
  <w:style w:type="paragraph" w:styleId="pta">
    <w:name w:val="pta"/>
    <w:basedOn w:val="Normal"/>
    <w:pPr>
      <w:spacing w:before="280" w:after="280"/>
    </w:pPr>
    <w:rPr>
      <w:b/>
      <w:bCs/>
      <w:strike/>
      <w:color w:val="DC143C"/>
      <w:sz w:val="24"/>
      <w:szCs w:val="24"/>
    </w:rPr>
  </w:style>
  <w:style w:type="paragraph" w:styleId="tpta">
    <w:name w:val="tpta"/>
    <w:basedOn w:val="Normal"/>
    <w:pPr>
      <w:spacing w:before="280" w:after="280"/>
    </w:pPr>
    <w:rPr>
      <w:strike/>
      <w:color w:val="DC143C"/>
      <w:sz w:val="24"/>
      <w:szCs w:val="24"/>
    </w:rPr>
  </w:style>
  <w:style w:type="paragraph" w:styleId="sp">
    <w:name w:val="sp"/>
    <w:basedOn w:val="Normal"/>
    <w:pPr>
      <w:spacing w:before="280" w:after="280"/>
    </w:pPr>
    <w:rPr>
      <w:b/>
      <w:bCs/>
      <w:color w:val="8F0000"/>
      <w:sz w:val="24"/>
      <w:szCs w:val="24"/>
    </w:rPr>
  </w:style>
  <w:style w:type="paragraph" w:styleId="tsp">
    <w:name w:val="tsp"/>
    <w:basedOn w:val="Normal"/>
    <w:pPr>
      <w:spacing w:before="280" w:after="280"/>
    </w:pPr>
    <w:rPr>
      <w:color w:val="000000"/>
      <w:sz w:val="24"/>
      <w:szCs w:val="24"/>
    </w:rPr>
  </w:style>
  <w:style w:type="paragraph" w:styleId="spa">
    <w:name w:val="spa"/>
    <w:basedOn w:val="Normal"/>
    <w:pPr>
      <w:spacing w:before="280" w:after="280"/>
    </w:pPr>
    <w:rPr>
      <w:b/>
      <w:bCs/>
      <w:strike/>
      <w:color w:val="DC143C"/>
      <w:sz w:val="24"/>
      <w:szCs w:val="24"/>
    </w:rPr>
  </w:style>
  <w:style w:type="paragraph" w:styleId="tspa">
    <w:name w:val="tspa"/>
    <w:basedOn w:val="Normal"/>
    <w:pPr>
      <w:spacing w:before="280" w:after="280"/>
    </w:pPr>
    <w:rPr>
      <w:strike/>
      <w:color w:val="DC143C"/>
      <w:sz w:val="24"/>
      <w:szCs w:val="24"/>
    </w:rPr>
  </w:style>
  <w:style w:type="paragraph" w:styleId="TableText">
    <w:name w:val="Table Text"/>
    <w:basedOn w:val="Normal"/>
    <w:pPr/>
    <w:rPr>
      <w:rFonts w:ascii="TimesRomanR;Times New Roman" w:hAnsi="TimesRomanR;Times New Roman" w:cs="TimesRomanR;Times New Roman"/>
      <w:sz w:val="28"/>
    </w:rPr>
  </w:style>
  <w:style w:type="paragraph" w:styleId="Default">
    <w:name w:val="Defaul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zh-CN" w:bidi="ar-SA"/>
    </w:rPr>
  </w:style>
  <w:style w:type="paragraph" w:styleId="CM2">
    <w:name w:val="CM2"/>
    <w:basedOn w:val="Default"/>
    <w:next w:val="Default"/>
    <w:pPr>
      <w:spacing w:lineRule="atLeast" w:line="216"/>
    </w:pPr>
    <w:rPr>
      <w:color w:val="000000"/>
    </w:rPr>
  </w:style>
  <w:style w:type="paragraph" w:styleId="CM1">
    <w:name w:val="CM1"/>
    <w:basedOn w:val="Default"/>
    <w:next w:val="Default"/>
    <w:pPr>
      <w:spacing w:lineRule="atLeast" w:line="211"/>
    </w:pPr>
    <w:rPr>
      <w:color w:val="000000"/>
    </w:rPr>
  </w:style>
  <w:style w:type="paragraph" w:styleId="CM5">
    <w:name w:val="CM5"/>
    <w:basedOn w:val="Default"/>
    <w:next w:val="Default"/>
    <w:pPr/>
    <w:rPr>
      <w:color w:val="000000"/>
    </w:rPr>
  </w:style>
  <w:style w:type="paragraph" w:styleId="CM4">
    <w:name w:val="CM4"/>
    <w:basedOn w:val="Default"/>
    <w:next w:val="Default"/>
    <w:pPr>
      <w:spacing w:lineRule="atLeast" w:line="213"/>
    </w:pPr>
    <w:rPr>
      <w:color w:val="000000"/>
    </w:rPr>
  </w:style>
  <w:style w:type="paragraph" w:styleId="CM11">
    <w:name w:val="CM1+1"/>
    <w:basedOn w:val="Default"/>
    <w:next w:val="Default"/>
    <w:pPr>
      <w:spacing w:lineRule="atLeast" w:line="213"/>
    </w:pPr>
    <w:rPr>
      <w:color w:val="000000"/>
    </w:rPr>
  </w:style>
  <w:style w:type="paragraph" w:styleId="CM21">
    <w:name w:val="CM2+1"/>
    <w:basedOn w:val="Default"/>
    <w:next w:val="Default"/>
    <w:pPr/>
    <w:rPr>
      <w:color w:val="000000"/>
    </w:rPr>
  </w:style>
  <w:style w:type="paragraph" w:styleId="CM31">
    <w:name w:val="CM3+1"/>
    <w:basedOn w:val="Default"/>
    <w:next w:val="Default"/>
    <w:pPr>
      <w:spacing w:lineRule="atLeast" w:line="213"/>
    </w:pPr>
    <w:rPr>
      <w:color w:val="000000"/>
    </w:rPr>
  </w:style>
  <w:style w:type="paragraph" w:styleId="CM12">
    <w:name w:val="CM1+2"/>
    <w:basedOn w:val="Default"/>
    <w:next w:val="Default"/>
    <w:pPr>
      <w:spacing w:lineRule="atLeast" w:line="220"/>
    </w:pPr>
    <w:rPr>
      <w:color w:val="000000"/>
    </w:rPr>
  </w:style>
  <w:style w:type="paragraph" w:styleId="CM32">
    <w:name w:val="CM3+2"/>
    <w:basedOn w:val="Default"/>
    <w:next w:val="Default"/>
    <w:pPr/>
    <w:rPr>
      <w:color w:val="000000"/>
    </w:rPr>
  </w:style>
  <w:style w:type="paragraph" w:styleId="CM22">
    <w:name w:val="CM2+2"/>
    <w:basedOn w:val="Default"/>
    <w:next w:val="Default"/>
    <w:pPr>
      <w:spacing w:lineRule="atLeast" w:line="218"/>
    </w:pPr>
    <w:rPr>
      <w:color w:val="000000"/>
    </w:rPr>
  </w:style>
  <w:style w:type="paragraph" w:styleId="CM13">
    <w:name w:val="CM1+3"/>
    <w:basedOn w:val="Default"/>
    <w:next w:val="Default"/>
    <w:pPr>
      <w:spacing w:lineRule="atLeast" w:line="213"/>
    </w:pPr>
    <w:rPr>
      <w:color w:val="000000"/>
    </w:rPr>
  </w:style>
  <w:style w:type="paragraph" w:styleId="CM6">
    <w:name w:val="CM6"/>
    <w:basedOn w:val="Default"/>
    <w:next w:val="Default"/>
    <w:pPr/>
    <w:rPr>
      <w:color w:val="000000"/>
    </w:rPr>
  </w:style>
  <w:style w:type="paragraph" w:styleId="CM23">
    <w:name w:val="CM2+3"/>
    <w:basedOn w:val="Default"/>
    <w:next w:val="Default"/>
    <w:pPr>
      <w:spacing w:lineRule="atLeast" w:line="226"/>
    </w:pPr>
    <w:rPr>
      <w:color w:val="000000"/>
    </w:rPr>
  </w:style>
  <w:style w:type="paragraph" w:styleId="CM33">
    <w:name w:val="CM3+3"/>
    <w:basedOn w:val="Default"/>
    <w:next w:val="Default"/>
    <w:pPr>
      <w:spacing w:lineRule="atLeast" w:line="213"/>
    </w:pPr>
    <w:rPr>
      <w:color w:val="000000"/>
    </w:rPr>
  </w:style>
  <w:style w:type="paragraph" w:styleId="CM42">
    <w:name w:val="CM4+2"/>
    <w:basedOn w:val="Default"/>
    <w:next w:val="Default"/>
    <w:pPr>
      <w:spacing w:lineRule="atLeast" w:line="216"/>
    </w:pPr>
    <w:rPr>
      <w:color w:val="000000"/>
    </w:rPr>
  </w:style>
  <w:style w:type="paragraph" w:styleId="CM51">
    <w:name w:val="CM5+1"/>
    <w:basedOn w:val="Default"/>
    <w:next w:val="Default"/>
    <w:pPr>
      <w:spacing w:lineRule="atLeast" w:line="213"/>
    </w:pPr>
    <w:rPr>
      <w:color w:val="000000"/>
    </w:rPr>
  </w:style>
  <w:style w:type="paragraph" w:styleId="CM14">
    <w:name w:val="CM1+4"/>
    <w:basedOn w:val="Default"/>
    <w:next w:val="Default"/>
    <w:pPr>
      <w:spacing w:lineRule="atLeast" w:line="213"/>
    </w:pPr>
    <w:rPr>
      <w:color w:val="000000"/>
    </w:rPr>
  </w:style>
  <w:style w:type="paragraph" w:styleId="CM24">
    <w:name w:val="CM2+4"/>
    <w:basedOn w:val="Default"/>
    <w:next w:val="Default"/>
    <w:pPr>
      <w:spacing w:lineRule="atLeast" w:line="211"/>
    </w:pPr>
    <w:rPr>
      <w:color w:val="000000"/>
    </w:rPr>
  </w:style>
  <w:style w:type="paragraph" w:styleId="CM34">
    <w:name w:val="CM3+4"/>
    <w:basedOn w:val="Default"/>
    <w:next w:val="Default"/>
    <w:pPr>
      <w:spacing w:lineRule="atLeast" w:line="213"/>
    </w:pPr>
    <w:rPr>
      <w:color w:val="000000"/>
    </w:rPr>
  </w:style>
  <w:style w:type="paragraph" w:styleId="CM15">
    <w:name w:val="CM1+5"/>
    <w:basedOn w:val="Default"/>
    <w:next w:val="Default"/>
    <w:pPr>
      <w:spacing w:lineRule="atLeast" w:line="218"/>
    </w:pPr>
    <w:rPr>
      <w:color w:val="000000"/>
    </w:rPr>
  </w:style>
  <w:style w:type="paragraph" w:styleId="CM25">
    <w:name w:val="CM2+5"/>
    <w:basedOn w:val="Default"/>
    <w:next w:val="Default"/>
    <w:pPr>
      <w:spacing w:lineRule="atLeast" w:line="216"/>
    </w:pPr>
    <w:rPr>
      <w:color w:val="000000"/>
    </w:rPr>
  </w:style>
  <w:style w:type="paragraph" w:styleId="CM35">
    <w:name w:val="CM3+5"/>
    <w:basedOn w:val="Default"/>
    <w:next w:val="Default"/>
    <w:pPr>
      <w:spacing w:lineRule="atLeast" w:line="213"/>
    </w:pPr>
    <w:rPr>
      <w:color w:val="000000"/>
    </w:rPr>
  </w:style>
  <w:style w:type="paragraph" w:styleId="CM43">
    <w:name w:val="CM4+3"/>
    <w:basedOn w:val="Default"/>
    <w:next w:val="Default"/>
    <w:pPr>
      <w:spacing w:lineRule="atLeast" w:line="213"/>
    </w:pPr>
    <w:rPr>
      <w:color w:val="000000"/>
    </w:rPr>
  </w:style>
  <w:style w:type="paragraph" w:styleId="CM52">
    <w:name w:val="CM5+2"/>
    <w:basedOn w:val="Default"/>
    <w:next w:val="Default"/>
    <w:pPr>
      <w:spacing w:lineRule="atLeast" w:line="213"/>
    </w:pPr>
    <w:rPr>
      <w:color w:val="000000"/>
    </w:rPr>
  </w:style>
  <w:style w:type="paragraph" w:styleId="CM61">
    <w:name w:val="CM6+1"/>
    <w:basedOn w:val="Default"/>
    <w:next w:val="Default"/>
    <w:pPr/>
    <w:rPr>
      <w:color w:val="000000"/>
    </w:rPr>
  </w:style>
  <w:style w:type="paragraph" w:styleId="CM7">
    <w:name w:val="CM7"/>
    <w:basedOn w:val="Default"/>
    <w:next w:val="Default"/>
    <w:pPr>
      <w:spacing w:lineRule="atLeast" w:line="213"/>
    </w:pPr>
    <w:rPr>
      <w:color w:val="000000"/>
    </w:rPr>
  </w:style>
  <w:style w:type="paragraph" w:styleId="CM16">
    <w:name w:val="CM1+6"/>
    <w:basedOn w:val="Default"/>
    <w:next w:val="Default"/>
    <w:pPr>
      <w:spacing w:lineRule="atLeast" w:line="206"/>
    </w:pPr>
    <w:rPr>
      <w:color w:val="000000"/>
    </w:rPr>
  </w:style>
  <w:style w:type="paragraph" w:styleId="CM26">
    <w:name w:val="CM2+6"/>
    <w:basedOn w:val="Default"/>
    <w:next w:val="Default"/>
    <w:pPr>
      <w:spacing w:lineRule="atLeast" w:line="213"/>
    </w:pPr>
    <w:rPr>
      <w:color w:val="000000"/>
    </w:rPr>
  </w:style>
  <w:style w:type="paragraph" w:styleId="CM36">
    <w:name w:val="CM3+6"/>
    <w:basedOn w:val="Default"/>
    <w:next w:val="Default"/>
    <w:pPr>
      <w:spacing w:lineRule="atLeast" w:line="216"/>
    </w:pPr>
    <w:rPr>
      <w:color w:val="000000"/>
    </w:rPr>
  </w:style>
  <w:style w:type="paragraph" w:styleId="CM17">
    <w:name w:val="CM1+7"/>
    <w:basedOn w:val="Default"/>
    <w:next w:val="Default"/>
    <w:pPr>
      <w:spacing w:lineRule="atLeast" w:line="213"/>
    </w:pPr>
    <w:rPr>
      <w:color w:val="000000"/>
    </w:rPr>
  </w:style>
  <w:style w:type="paragraph" w:styleId="CM27">
    <w:name w:val="CM2+7"/>
    <w:basedOn w:val="Default"/>
    <w:next w:val="Default"/>
    <w:pPr>
      <w:spacing w:lineRule="atLeast" w:line="218"/>
    </w:pPr>
    <w:rPr>
      <w:color w:val="000000"/>
    </w:rPr>
  </w:style>
  <w:style w:type="paragraph" w:styleId="CM37">
    <w:name w:val="CM3+7"/>
    <w:basedOn w:val="Default"/>
    <w:next w:val="Default"/>
    <w:pPr>
      <w:spacing w:lineRule="atLeast" w:line="216"/>
    </w:pPr>
    <w:rPr>
      <w:color w:val="000000"/>
    </w:rPr>
  </w:style>
  <w:style w:type="paragraph" w:styleId="CM44">
    <w:name w:val="CM4+4"/>
    <w:basedOn w:val="Default"/>
    <w:next w:val="Default"/>
    <w:pPr>
      <w:spacing w:lineRule="atLeast" w:line="228"/>
    </w:pPr>
    <w:rPr>
      <w:color w:val="000000"/>
    </w:rPr>
  </w:style>
  <w:style w:type="paragraph" w:styleId="CM18">
    <w:name w:val="CM1+8"/>
    <w:basedOn w:val="Default"/>
    <w:next w:val="Default"/>
    <w:pPr>
      <w:spacing w:lineRule="atLeast" w:line="218"/>
    </w:pPr>
    <w:rPr>
      <w:color w:val="000000"/>
    </w:rPr>
  </w:style>
  <w:style w:type="paragraph" w:styleId="CM19">
    <w:name w:val="CM1+9"/>
    <w:basedOn w:val="Default"/>
    <w:next w:val="Default"/>
    <w:pPr>
      <w:spacing w:lineRule="atLeast" w:line="213"/>
    </w:pPr>
    <w:rPr>
      <w:color w:val="000000"/>
    </w:rPr>
  </w:style>
  <w:style w:type="paragraph" w:styleId="CM28">
    <w:name w:val="CM2+8"/>
    <w:basedOn w:val="Default"/>
    <w:next w:val="Default"/>
    <w:pPr>
      <w:spacing w:lineRule="atLeast" w:line="211"/>
    </w:pPr>
    <w:rPr>
      <w:color w:val="000000"/>
    </w:rPr>
  </w:style>
  <w:style w:type="paragraph" w:styleId="CM38">
    <w:name w:val="CM3+8"/>
    <w:basedOn w:val="Default"/>
    <w:next w:val="Default"/>
    <w:pPr>
      <w:spacing w:lineRule="atLeast" w:line="211"/>
    </w:pPr>
    <w:rPr>
      <w:color w:val="000000"/>
    </w:rPr>
  </w:style>
  <w:style w:type="paragraph" w:styleId="CM62">
    <w:name w:val="CM6+2"/>
    <w:basedOn w:val="Default"/>
    <w:next w:val="Default"/>
    <w:pPr/>
    <w:rPr>
      <w:color w:val="000000"/>
    </w:rPr>
  </w:style>
  <w:style w:type="paragraph" w:styleId="CM45">
    <w:name w:val="CM4+5"/>
    <w:basedOn w:val="Default"/>
    <w:next w:val="Default"/>
    <w:pPr>
      <w:spacing w:lineRule="atLeast" w:line="211"/>
    </w:pPr>
    <w:rPr>
      <w:color w:val="000000"/>
    </w:rPr>
  </w:style>
  <w:style w:type="paragraph" w:styleId="CM53">
    <w:name w:val="CM5+3"/>
    <w:basedOn w:val="Default"/>
    <w:next w:val="Default"/>
    <w:pPr>
      <w:spacing w:lineRule="atLeast" w:line="208"/>
    </w:pPr>
    <w:rPr>
      <w:color w:val="000000"/>
    </w:rPr>
  </w:style>
  <w:style w:type="paragraph" w:styleId="CM110">
    <w:name w:val="CM1+10"/>
    <w:basedOn w:val="Default"/>
    <w:next w:val="Default"/>
    <w:pPr>
      <w:spacing w:lineRule="atLeast" w:line="213"/>
    </w:pPr>
    <w:rPr>
      <w:color w:val="000000"/>
    </w:rPr>
  </w:style>
  <w:style w:type="paragraph" w:styleId="CM29">
    <w:name w:val="CM2+9"/>
    <w:basedOn w:val="Default"/>
    <w:next w:val="Default"/>
    <w:pPr/>
    <w:rPr>
      <w:color w:val="000000"/>
    </w:rPr>
  </w:style>
  <w:style w:type="paragraph" w:styleId="CM8">
    <w:name w:val="CM8"/>
    <w:basedOn w:val="Default"/>
    <w:next w:val="Default"/>
    <w:pPr/>
    <w:rPr>
      <w:color w:val="000000"/>
    </w:rPr>
  </w:style>
  <w:style w:type="paragraph" w:styleId="CM39">
    <w:name w:val="CM3+9"/>
    <w:basedOn w:val="Default"/>
    <w:next w:val="Default"/>
    <w:pPr/>
    <w:rPr>
      <w:color w:val="000000"/>
    </w:rPr>
  </w:style>
  <w:style w:type="paragraph" w:styleId="CM46">
    <w:name w:val="CM4+6"/>
    <w:basedOn w:val="Default"/>
    <w:next w:val="Default"/>
    <w:pPr>
      <w:spacing w:lineRule="atLeast" w:line="203"/>
    </w:pPr>
    <w:rPr>
      <w:color w:val="000000"/>
    </w:rPr>
  </w:style>
  <w:style w:type="paragraph" w:styleId="CM54">
    <w:name w:val="CM5+4"/>
    <w:basedOn w:val="Default"/>
    <w:next w:val="Default"/>
    <w:pPr>
      <w:spacing w:lineRule="atLeast" w:line="208"/>
    </w:pPr>
    <w:rPr>
      <w:color w:val="000000"/>
    </w:rPr>
  </w:style>
  <w:style w:type="paragraph" w:styleId="CM71">
    <w:name w:val="CM7+1"/>
    <w:basedOn w:val="Default"/>
    <w:next w:val="Default"/>
    <w:pPr/>
    <w:rPr>
      <w:color w:val="000000"/>
    </w:rPr>
  </w:style>
  <w:style w:type="paragraph" w:styleId="CM63">
    <w:name w:val="CM6+3"/>
    <w:basedOn w:val="Default"/>
    <w:next w:val="Default"/>
    <w:pPr>
      <w:spacing w:lineRule="atLeast" w:line="208"/>
    </w:pPr>
    <w:rPr>
      <w:color w:val="000000"/>
    </w:rPr>
  </w:style>
  <w:style w:type="paragraph" w:styleId="CM111">
    <w:name w:val="CM1+11"/>
    <w:basedOn w:val="Default"/>
    <w:next w:val="Default"/>
    <w:pPr>
      <w:spacing w:lineRule="atLeast" w:line="213"/>
    </w:pPr>
    <w:rPr>
      <w:rFonts w:ascii="HiddenHorzOCl;Arial" w:hAnsi="HiddenHorzOCl;Arial" w:cs="HiddenHorzOCl;Arial"/>
      <w:color w:val="000000"/>
    </w:rPr>
  </w:style>
  <w:style w:type="paragraph" w:styleId="CM210">
    <w:name w:val="CM2+10"/>
    <w:basedOn w:val="Default"/>
    <w:next w:val="Default"/>
    <w:pPr>
      <w:spacing w:lineRule="atLeast" w:line="211"/>
    </w:pPr>
    <w:rPr>
      <w:rFonts w:ascii="HiddenHorzOCl;Arial" w:hAnsi="HiddenHorzOCl;Arial" w:cs="HiddenHorzOCl;Arial"/>
      <w:color w:val="000000"/>
    </w:rPr>
  </w:style>
  <w:style w:type="paragraph" w:styleId="CM310">
    <w:name w:val="CM3+10"/>
    <w:basedOn w:val="Default"/>
    <w:next w:val="Default"/>
    <w:pPr>
      <w:spacing w:lineRule="atLeast" w:line="216"/>
    </w:pPr>
    <w:rPr>
      <w:rFonts w:ascii="HiddenHorzOCl;Arial" w:hAnsi="HiddenHorzOCl;Arial" w:cs="HiddenHorzOCl;Arial"/>
      <w:color w:val="000000"/>
    </w:rPr>
  </w:style>
  <w:style w:type="paragraph" w:styleId="CM64">
    <w:name w:val="CM6+4"/>
    <w:basedOn w:val="Default"/>
    <w:next w:val="Default"/>
    <w:pPr/>
    <w:rPr>
      <w:rFonts w:ascii="HiddenHorzOCl;Arial" w:hAnsi="HiddenHorzOCl;Arial" w:cs="HiddenHorzOCl;Arial"/>
      <w:color w:val="000000"/>
    </w:rPr>
  </w:style>
  <w:style w:type="paragraph" w:styleId="CM55">
    <w:name w:val="CM5+5"/>
    <w:basedOn w:val="Default"/>
    <w:next w:val="Default"/>
    <w:pPr/>
    <w:rPr>
      <w:rFonts w:ascii="HiddenHorzOCl;Arial" w:hAnsi="HiddenHorzOCl;Arial" w:cs="HiddenHorzOCl;Arial"/>
      <w:color w:val="000000"/>
    </w:rPr>
  </w:style>
  <w:style w:type="paragraph" w:styleId="CM112">
    <w:name w:val="CM1+12"/>
    <w:basedOn w:val="Default"/>
    <w:next w:val="Default"/>
    <w:pPr>
      <w:spacing w:lineRule="atLeast" w:line="218"/>
    </w:pPr>
    <w:rPr>
      <w:color w:val="000000"/>
    </w:rPr>
  </w:style>
  <w:style w:type="paragraph" w:styleId="CM211">
    <w:name w:val="CM2+11"/>
    <w:basedOn w:val="Default"/>
    <w:next w:val="Default"/>
    <w:pPr>
      <w:spacing w:lineRule="atLeast" w:line="213"/>
    </w:pPr>
    <w:rPr>
      <w:color w:val="000000"/>
    </w:rPr>
  </w:style>
  <w:style w:type="paragraph" w:styleId="CM56">
    <w:name w:val="CM5+6"/>
    <w:basedOn w:val="Default"/>
    <w:next w:val="Default"/>
    <w:pPr/>
    <w:rPr>
      <w:color w:val="000000"/>
    </w:rPr>
  </w:style>
  <w:style w:type="paragraph" w:styleId="CM48">
    <w:name w:val="CM4+8"/>
    <w:basedOn w:val="Default"/>
    <w:next w:val="Default"/>
    <w:pPr/>
    <w:rPr>
      <w:color w:val="000000"/>
    </w:rPr>
  </w:style>
  <w:style w:type="paragraph" w:styleId="CM113">
    <w:name w:val="CM1+13"/>
    <w:basedOn w:val="Default"/>
    <w:next w:val="Default"/>
    <w:pPr>
      <w:spacing w:lineRule="atLeast" w:line="216"/>
    </w:pPr>
    <w:rPr>
      <w:color w:val="000000"/>
    </w:rPr>
  </w:style>
  <w:style w:type="paragraph" w:styleId="CM212">
    <w:name w:val="CM2+12"/>
    <w:basedOn w:val="Default"/>
    <w:next w:val="Default"/>
    <w:pPr/>
    <w:rPr>
      <w:color w:val="000000"/>
    </w:rPr>
  </w:style>
  <w:style w:type="paragraph" w:styleId="CM312">
    <w:name w:val="CM3+12"/>
    <w:basedOn w:val="Default"/>
    <w:next w:val="Default"/>
    <w:pPr>
      <w:spacing w:lineRule="atLeast" w:line="216"/>
    </w:pPr>
    <w:rPr>
      <w:color w:val="000000"/>
    </w:rPr>
  </w:style>
  <w:style w:type="paragraph" w:styleId="CM57">
    <w:name w:val="CM5+7"/>
    <w:basedOn w:val="Default"/>
    <w:next w:val="Default"/>
    <w:pPr/>
    <w:rPr>
      <w:color w:val="000000"/>
    </w:rPr>
  </w:style>
  <w:style w:type="paragraph" w:styleId="CM49">
    <w:name w:val="CM4+9"/>
    <w:basedOn w:val="Default"/>
    <w:next w:val="Default"/>
    <w:pPr>
      <w:spacing w:lineRule="atLeast" w:line="218"/>
    </w:pPr>
    <w:rPr>
      <w:color w:val="000000"/>
    </w:rPr>
  </w:style>
  <w:style w:type="paragraph" w:styleId="CM114">
    <w:name w:val="CM1+14"/>
    <w:basedOn w:val="Default"/>
    <w:next w:val="Default"/>
    <w:pPr>
      <w:spacing w:lineRule="atLeast" w:line="216"/>
    </w:pPr>
    <w:rPr>
      <w:color w:val="000000"/>
    </w:rPr>
  </w:style>
  <w:style w:type="paragraph" w:styleId="CM213">
    <w:name w:val="CM2+13"/>
    <w:basedOn w:val="Default"/>
    <w:next w:val="Default"/>
    <w:pPr>
      <w:spacing w:lineRule="atLeast" w:line="213"/>
    </w:pPr>
    <w:rPr>
      <w:color w:val="000000"/>
    </w:rPr>
  </w:style>
  <w:style w:type="paragraph" w:styleId="CM313">
    <w:name w:val="CM3+13"/>
    <w:basedOn w:val="Default"/>
    <w:next w:val="Default"/>
    <w:pPr>
      <w:spacing w:lineRule="atLeast" w:line="218"/>
    </w:pPr>
    <w:rPr>
      <w:color w:val="000000"/>
    </w:rPr>
  </w:style>
  <w:style w:type="paragraph" w:styleId="CM115">
    <w:name w:val="CM1+15"/>
    <w:basedOn w:val="Default"/>
    <w:next w:val="Default"/>
    <w:pPr>
      <w:spacing w:lineRule="atLeast" w:line="213"/>
    </w:pPr>
    <w:rPr>
      <w:color w:val="000000"/>
    </w:rPr>
  </w:style>
  <w:style w:type="paragraph" w:styleId="CM214">
    <w:name w:val="CM2+14"/>
    <w:basedOn w:val="Default"/>
    <w:next w:val="Default"/>
    <w:pPr>
      <w:spacing w:lineRule="atLeast" w:line="223"/>
    </w:pPr>
    <w:rPr>
      <w:color w:val="000000"/>
    </w:rPr>
  </w:style>
  <w:style w:type="paragraph" w:styleId="CM314">
    <w:name w:val="CM3+14"/>
    <w:basedOn w:val="Default"/>
    <w:next w:val="Default"/>
    <w:pPr>
      <w:spacing w:lineRule="atLeast" w:line="220"/>
    </w:pPr>
    <w:rPr>
      <w:color w:val="000000"/>
    </w:rPr>
  </w:style>
  <w:style w:type="paragraph" w:styleId="CM410">
    <w:name w:val="CM4+10"/>
    <w:basedOn w:val="Default"/>
    <w:next w:val="Default"/>
    <w:pPr>
      <w:spacing w:lineRule="atLeast" w:line="218"/>
    </w:pPr>
    <w:rPr>
      <w:color w:val="000000"/>
    </w:rPr>
  </w:style>
  <w:style w:type="paragraph" w:styleId="CM58">
    <w:name w:val="CM5+8"/>
    <w:basedOn w:val="Default"/>
    <w:next w:val="Default"/>
    <w:pPr>
      <w:spacing w:lineRule="atLeast" w:line="220"/>
    </w:pPr>
    <w:rPr>
      <w:color w:val="000000"/>
    </w:rPr>
  </w:style>
  <w:style w:type="paragraph" w:styleId="CM65">
    <w:name w:val="CM6+5"/>
    <w:basedOn w:val="Default"/>
    <w:next w:val="Default"/>
    <w:pPr>
      <w:spacing w:lineRule="atLeast" w:line="218"/>
    </w:pPr>
    <w:rPr>
      <w:color w:val="000000"/>
    </w:rPr>
  </w:style>
  <w:style w:type="paragraph" w:styleId="CM116">
    <w:name w:val="CM1+16"/>
    <w:basedOn w:val="Default"/>
    <w:next w:val="Default"/>
    <w:pPr>
      <w:spacing w:lineRule="atLeast" w:line="213"/>
    </w:pPr>
    <w:rPr>
      <w:color w:val="000000"/>
    </w:rPr>
  </w:style>
  <w:style w:type="paragraph" w:styleId="CM215">
    <w:name w:val="CM2+15"/>
    <w:basedOn w:val="Default"/>
    <w:next w:val="Default"/>
    <w:pPr>
      <w:spacing w:lineRule="atLeast" w:line="211"/>
    </w:pPr>
    <w:rPr>
      <w:color w:val="000000"/>
    </w:rPr>
  </w:style>
  <w:style w:type="paragraph" w:styleId="CM315">
    <w:name w:val="CM3+15"/>
    <w:basedOn w:val="Default"/>
    <w:next w:val="Default"/>
    <w:pPr>
      <w:spacing w:lineRule="atLeast" w:line="218"/>
    </w:pPr>
    <w:rPr>
      <w:color w:val="000000"/>
    </w:rPr>
  </w:style>
  <w:style w:type="paragraph" w:styleId="CM117">
    <w:name w:val="CM1+17"/>
    <w:basedOn w:val="Default"/>
    <w:next w:val="Default"/>
    <w:pPr>
      <w:spacing w:lineRule="atLeast" w:line="211"/>
    </w:pPr>
    <w:rPr>
      <w:color w:val="000000"/>
    </w:rPr>
  </w:style>
  <w:style w:type="paragraph" w:styleId="CM3">
    <w:name w:val="CM3"/>
    <w:basedOn w:val="Default"/>
    <w:next w:val="Default"/>
    <w:pPr>
      <w:spacing w:lineRule="atLeast" w:line="218"/>
    </w:pPr>
    <w:rPr>
      <w:color w:val="000000"/>
    </w:rPr>
  </w:style>
  <w:style w:type="paragraph" w:styleId="CM216">
    <w:name w:val="CM2+16"/>
    <w:basedOn w:val="Default"/>
    <w:next w:val="Default"/>
    <w:pPr>
      <w:spacing w:lineRule="atLeast" w:line="213"/>
    </w:pPr>
    <w:rPr>
      <w:color w:val="000000"/>
    </w:rPr>
  </w:style>
  <w:style w:type="paragraph" w:styleId="CM41">
    <w:name w:val="CM4+1"/>
    <w:basedOn w:val="Default"/>
    <w:next w:val="Default"/>
    <w:pPr>
      <w:spacing w:lineRule="atLeast" w:line="213"/>
    </w:pPr>
    <w:rPr>
      <w:color w:val="000000"/>
    </w:rPr>
  </w:style>
  <w:style w:type="paragraph" w:styleId="PlainText">
    <w:name w:val="Plain Text"/>
    <w:basedOn w:val="Normal"/>
    <w:pPr/>
    <w:rPr>
      <w:rFonts w:ascii="Courier New" w:hAnsi="Courier New" w:cs="Courier New"/>
      <w:color w:val="008080"/>
      <w:lang w:val="en-AU"/>
    </w:rPr>
  </w:style>
  <w:style w:type="paragraph" w:styleId="Style8">
    <w:name w:val="Style8"/>
    <w:basedOn w:val="Normal"/>
    <w:pPr>
      <w:widowControl w:val="false"/>
      <w:spacing w:lineRule="exact" w:line="245"/>
      <w:jc w:val="both"/>
    </w:pPr>
    <w:rPr>
      <w:rFonts w:ascii="Century Gothic" w:hAnsi="Century Gothic" w:cs="Century Gothic"/>
      <w:sz w:val="24"/>
      <w:szCs w:val="24"/>
    </w:rPr>
  </w:style>
  <w:style w:type="paragraph" w:styleId="normal1">
    <w:name w:val="normal1"/>
    <w:basedOn w:val="Normal"/>
    <w:pPr>
      <w:spacing w:before="280" w:after="280"/>
    </w:pPr>
    <w:rPr>
      <w:sz w:val="24"/>
      <w:szCs w:val="24"/>
    </w:rPr>
  </w:style>
  <w:style w:type="paragraph" w:styleId="BalloonText">
    <w:name w:val="Balloon Text"/>
    <w:basedOn w:val="Normal"/>
    <w:pPr/>
    <w:rPr>
      <w:rFonts w:ascii="Segoe UI" w:hAnsi="Segoe UI" w:cs="Segoe UI"/>
      <w:sz w:val="18"/>
      <w:szCs w:val="18"/>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 w:type="numbering" w:styleId="WW8Num56">
    <w:name w:val="WW8Num56"/>
  </w:style>
  <w:style w:type="numbering" w:styleId="WW8Num57">
    <w:name w:val="WW8Num57"/>
  </w:style>
  <w:style w:type="numbering" w:styleId="WW8Num58">
    <w:name w:val="WW8Num58"/>
  </w:style>
  <w:style w:type="numbering" w:styleId="WW8Num59">
    <w:name w:val="WW8Num5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emf"/><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LibreOffice/26.8.0.3$Linux_AARCH64 LibreOffice_project/680$Build-3</Application>
  <AppVersion>15.0000</AppVersion>
  <Pages>31</Pages>
  <Words>17009</Words>
  <Characters>102089</Characters>
  <CharactersWithSpaces>117734</CharactersWithSpaces>
  <Paragraphs>1016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2024-03-04T10:36:00Z</dcterms:created>
  <dc:creator>Bebe</dc:creator>
  <dc:description/>
  <dc:language>en-US</dc:language>
  <cp:lastModifiedBy/>
  <cp:lastPrinted>2024-03-04T12:41:00Z</cp:lastPrinted>
  <dcterms:modified xsi:type="dcterms:W3CDTF">2026-09-19T01:22:11Z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