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 sau unității potrivit prevederilor art. 15 alin. (1) pct. 8,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