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 xml:space="preserve">TEMATICA DE INSTRUIRE PENTRU INSTRUIREA INTRODUCTIV-GENERALĂ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Conform MISSMIG Art. 1 – 320;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 xml:space="preserve">PLANUL DE DESFĂȘURARE PENTRU INSTRUIREA INTRODUCTIV-GENERALĂ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16 – 27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28 – 80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81 – 96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97 – 107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108 – 119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120 – 150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151 – 209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210 – 232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233 – 264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265 – 272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273 – 285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286 – 294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295 – 319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legale privind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MISSMIG Art. 320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1051/2006, H.G. 1028/2006, H.G. 1146/2006, H.G. 493/2006, H.G. 259/2022; I.P.S.S.M. Art. 1 – 287;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1051/2006, H.G. 1028/2006, H.G. 1146/2006, H.G. 493/2006, H.G. 259/2022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I.P.S.S.M.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44 – 45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46 – 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56 – 62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circulația pietonilor și circulația bicicliștilor (atât în interiorul unității,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63 – 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95 – 165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166 – 185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 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186 – 202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203 – 233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234 – 253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254 – 287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 la nivelul locurilor de muncă și/ sau posturilor de lucru privind acordarea, utilizarea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specifice activităților și echipamentelor de muncă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