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echipamentul individual de protecție purtat sau folosit de armată,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trebuie să respecte prevederile Hotărârii Guvernului nr. 115/2004 privind stabilirea cerințelor esențiale de securitate ale echipamentelor individuale de protecție și a condițiilor pentru introducerea lor pe piață, cu modificările ulterioare.</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 xml:space="preserve">să se potrivească în mod corect persoanei care îl poartă, după toate ajustările necesare.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cazul în care prezența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se distribuie gratuit de angajator, care asigură buna sa funcționare și o stare de igienă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Această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române care transpun legislația comunitară privind libera circulație a acestui echipament.</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Ministerul Muncii, Solidarității Sociale și Familiei consultă organizațiile angajatorilor și lucrătorilor cu privire la regulile prevăzute la art. 17 și 18.</w:t>
      </w:r>
    </w:p>
    <w:p>
      <w:pPr>
        <w:pStyle w:val="Normal"/>
        <w:keepNext/>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r>
        <w:br/>
      </w: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Căldură,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keepNext/>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Ceață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Vânt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Zăpadă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Gheață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keepNext/>
        <w:widowControl/>
        <w:tabs>
          <w:tab w:val="clear" w:pos="720"/>
          <w:tab w:val="left" w:pos="1845" w:leader="none"/>
        </w:tabs>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r>
        <w:br/>
      </w:r>
      <w:r>
        <w:rPr>
          <w:rFonts w:eastAsia="Arial" w:cs="Arial" w:ascii="Arial" w:hAnsi="Arial"/>
          <w:b/>
          <w:bCs/>
          <w:color w:val="auto"/>
          <w:spacing w:val="0"/>
          <w:w w:val="100"/>
          <w:sz w:val="20"/>
          <w:szCs w:val="20"/>
          <w:lang w:val="ro-RO"/>
        </w:rPr>
        <w:t>Lista orientativă și neexhaustivă a E.I.P.</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acoperământ ușor pentru protecția scalpului (caschete, bonete, plase de păr,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antifoane externe cu receptor de joasă frecvență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 împotriva radiațiilor X, ochelari-mască împotriva radiațiilor laser, ochelari-mască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măști și căști pentru sudură cu arc (măști de mână, măști cu fixare pe cap sau măști care pot fi montate pe căști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aparate de protecție respiratorie cu mască de sudură detașabilă;</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mâinii și brațului:</w:t>
      </w:r>
    </w:p>
    <w:p>
      <w:pPr>
        <w:pStyle w:val="Normal"/>
        <w:keepNext/>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manșetă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încălțăminte și supraîncălțări cu tălpi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crampoane detașabile pentru gheață, zăpadă sau podele alunecoase.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keepNext/>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Protecția întregului corp</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keepNext/>
        <w:widowControl/>
        <w:numPr>
          <w:ilvl w:val="0"/>
          <w:numId w:val="15"/>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de protecție rezistentă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paturi de protecție.</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r>
        <w:br/>
      </w: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keepNext/>
        <w:widowControl/>
        <w:numPr>
          <w:ilvl w:val="0"/>
          <w:numId w:val="2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cuptoare industriale, containere, mașini, silozuri, buncăre și conducte;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keepNext/>
        <w:widowControl/>
        <w:numPr>
          <w:ilvl w:val="0"/>
          <w:numId w:val="12"/>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fără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transport și depozitare;</w:t>
      </w:r>
    </w:p>
    <w:p>
      <w:pPr>
        <w:pStyle w:val="Normal"/>
        <w:keepNext/>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toc sau talpă ortopedică și inserție antiperforație: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keepNext/>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utilizarea de mașini a căror funcționare se bazează pe îndepărtarea șpanului în cazul prelucrării de materiale care produc șpan;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căldură radiantă;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containere, spații înguste și cuptoare industriale alimentate cu gaz, în cazul în care poate exista riscul intoxicării cu gaz sau cantitatea de oxigen este insuficientă;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canale și alte spații subterane ale sistemului de canalizare;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keepNext/>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 xml:space="preserve">Protecția corpului, brațelor și mâinilor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sablare;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 în spații înguste.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cuțite de mână care implică îndreptarea cuțitului spre corp.</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manipularea de obiecte cu muchii ascuțite, dar nu la utilizarea mașinilor care prezintă riscul ca mănușa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Mănuși din împletitură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keepNext/>
        <w:widowControl/>
        <w:numPr>
          <w:ilvl w:val="0"/>
          <w:numId w:val="8"/>
        </w:numPr>
        <w:spacing w:before="0" w:after="40"/>
        <w:ind w:left="720" w:hanging="36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pază,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în silvicultură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monitorizare a oleoductelor și gazoductelor</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drumuri și șosele, poduri, căi ferate,</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2"/>
          <w:numId w:val="19"/>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17"/>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Observații: La predarea echipamentului individual de protecție se va completa procesul verbal de predare – primire.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