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ecisionNumbers.openFire}}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w:t>
      </w:r>
      <w:r>
        <w:rPr>
          <w:rFonts w:eastAsia="Arial" w:cs="Arial" w:ascii="Arial" w:hAnsi="Arial"/>
          <w:bCs/>
          <w:color w:val="auto"/>
          <w:spacing w:val="0"/>
          <w:w w:val="100"/>
          <w:sz w:val="20"/>
          <w:szCs w:val="20"/>
          <w:lang w:val="ro-RO"/>
        </w:rPr>
        <w:t>i 307/</w:t>
      </w:r>
      <w:r>
        <w:rPr>
          <w:rFonts w:eastAsia="Arial" w:cs="Arial" w:ascii="Arial" w:hAnsi="Arial"/>
          <w:color w:val="auto"/>
          <w:spacing w:val="0"/>
          <w:w w:val="100"/>
          <w:sz w:val="20"/>
          <w:szCs w:val="20"/>
          <w:lang w:val="ro-RO"/>
        </w:rPr>
        <w:t xml:space="preserve">2006 privind apărarea împotriva incendiilor – Art. 19 lit. a) și ale OMAI 163/2007 – Art. 5 lit. b), Art. 17 lit. c) și </w:t>
      </w:r>
      <w:r>
        <w:rPr>
          <w:rStyle w:val="do1"/>
          <w:rFonts w:eastAsia="Arial" w:cs="Arial" w:ascii="Arial" w:hAnsi="Arial"/>
          <w:b w:val="false"/>
          <w:color w:val="auto"/>
          <w:spacing w:val="0"/>
          <w:w w:val="100"/>
          <w:sz w:val="20"/>
          <w:szCs w:val="20"/>
          <w:lang w:val="ro-RO"/>
        </w:rPr>
        <w:t xml:space="preserve">Art. 97 – 105, {{client.representativeName}}, în </w:t>
      </w:r>
      <w:r>
        <w:rPr>
          <w:rFonts w:eastAsia="Arial" w:cs="Arial" w:ascii="Arial" w:hAnsi="Arial"/>
          <w:color w:val="auto"/>
          <w:spacing w:val="0"/>
          <w:w w:val="100"/>
          <w:sz w:val="20"/>
          <w:szCs w:val="20"/>
          <w:lang w:val="ro-RO"/>
        </w:rPr>
        <w:t>calitate de {{client.representativeRole}} în cadrul {{clien</w:t>
      </w:r>
      <w:r>
        <w:rPr>
          <w:rFonts w:eastAsia="Arial" w:cs="Arial" w:ascii="Arial" w:hAnsi="Arial"/>
          <w:color w:val="auto"/>
          <w:spacing w:val="0"/>
          <w:w w:val="100"/>
          <w:sz w:val="20"/>
          <w:szCs w:val="20"/>
          <w:lang w:val="ro-RO"/>
        </w:rPr>
        <w:t xml:space="preserve">t.legalName}}, începând </w:t>
      </w:r>
      <w:r>
        <w:rPr>
          <w:rFonts w:eastAsia="Arial" w:cs="Arial" w:ascii="Arial" w:hAnsi="Arial"/>
          <w:color w:val="auto"/>
          <w:spacing w:val="0"/>
          <w:w w:val="100"/>
          <w:sz w:val="20"/>
          <w:szCs w:val="20"/>
          <w:lang w:val="ro-RO"/>
        </w:rPr>
        <w:t>cu data de {{is</w:t>
      </w:r>
      <w:r>
        <w:rPr>
          <w:rFonts w:eastAsia="Arial" w:cs="Arial" w:ascii="Arial" w:hAnsi="Arial"/>
          <w:color w:val="auto"/>
          <w:spacing w:val="0"/>
          <w:w w:val="100"/>
          <w:sz w:val="20"/>
          <w:szCs w:val="20"/>
          <w:lang w:val="ro-RO"/>
        </w:rPr>
        <w:t>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spacing w:before="0" w:after="120"/>
        <w:ind w:hanging="0" w:right="0"/>
        <w:jc w:val="left"/>
        <w:rPr>
          <w:rStyle w:val="PageNumber"/>
          <w:rFonts w:ascii="Arial" w:hAnsi="Arial" w:cs="Arial"/>
          <w:bCs/>
          <w:sz w:val="20"/>
          <w:szCs w:val="20"/>
        </w:rPr>
      </w:pPr>
      <w:r>
        <w:rPr>
          <w:rFonts w:eastAsia="Arial" w:cs="Arial" w:ascii="Arial" w:hAnsi="Arial"/>
          <w:color w:val="auto"/>
          <w:spacing w:val="0"/>
          <w:w w:val="100"/>
          <w:sz w:val="20"/>
          <w:szCs w:val="20"/>
          <w:lang w:val="ro-RO"/>
        </w:rPr>
        <w:t>Modul de reglementare a lucrărilor cu foc deschis în spațiile {{clie</w:t>
      </w:r>
      <w:r>
        <w:rPr>
          <w:rStyle w:val="PageNumber"/>
          <w:rFonts w:eastAsia="Arial" w:cs="Arial" w:ascii="Arial" w:hAnsi="Arial"/>
          <w:color w:val="auto"/>
          <w:spacing w:val="0"/>
          <w:w w:val="100"/>
          <w:sz w:val="20"/>
          <w:szCs w:val="20"/>
          <w:lang w:val="ro-RO"/>
        </w:rPr>
        <w:t xml:space="preserve">nt.legalName}}, </w:t>
      </w:r>
      <w:r>
        <w:rPr>
          <w:rFonts w:eastAsia="Arial" w:cs="Arial" w:ascii="Arial" w:hAnsi="Arial"/>
          <w:color w:val="auto"/>
          <w:spacing w:val="0"/>
          <w:w w:val="100"/>
          <w:sz w:val="20"/>
          <w:szCs w:val="20"/>
          <w:lang w:val="ro-RO"/>
        </w:rPr>
        <w:t>astfel</w:t>
      </w:r>
      <w:r>
        <w:rPr>
          <w:rStyle w:val="PageNumber"/>
          <w:rFonts w:eastAsia="Arial" w:cs="Arial" w:ascii="Arial" w:hAnsi="Arial"/>
          <w:bCs/>
          <w:color w:val="auto"/>
          <w:spacing w:val="0"/>
          <w:w w:val="100"/>
          <w:sz w:val="20"/>
          <w:szCs w:val="20"/>
          <w:lang w:val="ro-RO"/>
        </w:rPr>
        <w:t>:</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Conform OMAI 163/2007 – Art. 98 alin. (1) lit. c), de executarea lucrărilor cu foc des</w:t>
      </w:r>
      <w:r>
        <w:rPr>
          <w:rFonts w:eastAsia="Arial" w:cs="Arial" w:ascii="Arial" w:hAnsi="Arial"/>
          <w:bCs/>
          <w:color w:val="auto"/>
          <w:spacing w:val="0"/>
          <w:w w:val="100"/>
          <w:sz w:val="20"/>
          <w:szCs w:val="20"/>
          <w:lang w:val="ro-RO"/>
        </w:rPr>
        <w:t>chis în cadrul</w:t>
      </w:r>
      <w:r>
        <w:rPr>
          <w:rFonts w:eastAsia="Arial" w:cs="Arial" w:ascii="Arial" w:hAnsi="Arial"/>
          <w:color w:val="auto"/>
          <w:spacing w:val="0"/>
          <w:w w:val="100"/>
          <w:sz w:val="20"/>
          <w:szCs w:val="20"/>
          <w:lang w:val="ro-RO"/>
        </w:rPr>
        <w:t xml:space="preserve"> {{client.legalN</w:t>
      </w:r>
      <w:r>
        <w:rPr>
          <w:rStyle w:val="PageNumber"/>
          <w:rFonts w:eastAsia="Arial" w:cs="Arial" w:ascii="Arial" w:hAnsi="Arial"/>
          <w:color w:val="auto"/>
          <w:spacing w:val="0"/>
          <w:w w:val="100"/>
          <w:sz w:val="20"/>
          <w:szCs w:val="20"/>
          <w:lang w:val="ro-RO"/>
        </w:rPr>
        <w:t>ame}} răspunde {</w:t>
      </w:r>
      <w:r>
        <w:rPr>
          <w:rFonts w:eastAsia="Arial" w:cs="Arial" w:ascii="Arial" w:hAnsi="Arial"/>
          <w:color w:val="auto"/>
          <w:spacing w:val="0"/>
          <w:w w:val="100"/>
          <w:sz w:val="20"/>
          <w:szCs w:val="20"/>
          <w:lang w:val="ro-RO"/>
        </w:rPr>
        <w:t>{fire.c</w:t>
      </w:r>
      <w:r>
        <w:rPr>
          <w:rStyle w:val="PageNumber"/>
          <w:rFonts w:eastAsia="Arial" w:cs="Arial" w:ascii="Arial" w:hAnsi="Arial"/>
          <w:bCs/>
          <w:color w:val="auto"/>
          <w:spacing w:val="0"/>
          <w:w w:val="100"/>
          <w:sz w:val="20"/>
          <w:szCs w:val="20"/>
          <w:lang w:val="ro-RO"/>
        </w:rPr>
        <w:t>o</w:t>
      </w:r>
      <w:r>
        <w:rPr>
          <w:rFonts w:eastAsia="Arial" w:cs="Arial" w:ascii="Arial" w:hAnsi="Arial"/>
          <w:color w:val="auto"/>
          <w:spacing w:val="0"/>
          <w:w w:val="100"/>
          <w:sz w:val="20"/>
          <w:szCs w:val="20"/>
          <w:lang w:val="ro-RO"/>
        </w:rPr>
        <w:t>ordinator.name}}, având funcția de {{fi</w:t>
      </w:r>
      <w:r>
        <w:rPr>
          <w:rFonts w:eastAsia="Arial" w:cs="Arial" w:ascii="Arial" w:hAnsi="Arial"/>
          <w:color w:val="auto"/>
          <w:spacing w:val="0"/>
          <w:w w:val="100"/>
          <w:sz w:val="20"/>
          <w:szCs w:val="20"/>
          <w:lang w:val="ro-RO"/>
        </w:rPr>
        <w:t>re.coordinator.jobTi</w:t>
      </w:r>
      <w:r>
        <w:rPr>
          <w:rFonts w:eastAsia="Arial" w:cs="Arial" w:ascii="Arial" w:hAnsi="Arial"/>
          <w:color w:val="auto"/>
          <w:spacing w:val="0"/>
          <w:w w:val="100"/>
          <w:sz w:val="20"/>
          <w:szCs w:val="20"/>
          <w:lang w:val="ro-RO"/>
        </w:rPr>
        <w:t>tle}}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Conform OMAI 163/2007 – Art. 98 alin. (1) lit. d), lucrările cu foc deschis se vor executa numai după emiterea „Permisulu</w:t>
      </w:r>
      <w:r>
        <w:rPr>
          <w:rFonts w:eastAsia="Arial" w:cs="Arial" w:ascii="Arial" w:hAnsi="Arial"/>
          <w:bCs/>
          <w:color w:val="auto"/>
          <w:spacing w:val="0"/>
          <w:w w:val="100"/>
          <w:sz w:val="20"/>
          <w:szCs w:val="20"/>
          <w:lang w:val="ro-RO"/>
        </w:rPr>
        <w:t xml:space="preserve">i de lucru cu foc” (OMAI 163/2007, </w:t>
      </w:r>
      <w:r>
        <w:rPr>
          <w:rFonts w:eastAsia="Arial" w:cs="Arial" w:ascii="Arial" w:hAnsi="Arial"/>
          <w:color w:val="auto"/>
          <w:spacing w:val="0"/>
          <w:w w:val="100"/>
          <w:sz w:val="20"/>
          <w:szCs w:val="20"/>
          <w:lang w:val="ro-RO"/>
        </w:rPr>
        <w:t>anexa 4).</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Lucrările cu foc deschis se vor executa numai după asigurarea măsurilor de P.S.I. specifice locului în care se efectuează lucrarea, sub supravegherea nemijlocită a șefului locului de muncă.</w:t>
      </w:r>
    </w:p>
    <w:p>
      <w:pPr>
        <w:pStyle w:val="BodyTextIndent"/>
        <w:widowControl/>
        <w:numPr>
          <w:ilvl w:val="0"/>
          <w:numId w:val="3"/>
        </w:numPr>
        <w:spacing w:before="120" w:after="6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Îndeplinirea condițiilor de siguranță prevăzute în Permisul de lucru cu foc va fi verificată de coordonatorul </w:t>
      </w:r>
      <w:r>
        <w:rPr>
          <w:rFonts w:eastAsia="Arial" w:cs="Arial" w:ascii="Arial" w:hAnsi="Arial"/>
          <w:bCs/>
          <w:color w:val="auto"/>
          <w:spacing w:val="0"/>
          <w:w w:val="100"/>
          <w:sz w:val="20"/>
          <w:szCs w:val="20"/>
          <w:lang w:val="ro-RO"/>
        </w:rPr>
        <w:t>privind apărarea împotriva incendiilor</w:t>
      </w:r>
      <w:r>
        <w:rPr>
          <w:rFonts w:eastAsia="Arial" w:cs="Arial" w:ascii="Arial" w:hAnsi="Arial"/>
          <w:color w:val="auto"/>
          <w:spacing w:val="0"/>
          <w:w w:val="100"/>
          <w:sz w:val="20"/>
          <w:szCs w:val="20"/>
          <w:lang w:val="ro-RO"/>
        </w:rPr>
        <w:t xml:space="preserve"> sau alte persoane din cadrul comisiei de apărare împotriva incendiilor.</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Permisul de lucru cu foc va fi emis de către coordonatorul </w:t>
      </w:r>
      <w:r>
        <w:rPr>
          <w:rFonts w:eastAsia="Arial" w:cs="Arial" w:ascii="Arial" w:hAnsi="Arial"/>
          <w:bCs/>
          <w:color w:val="auto"/>
          <w:spacing w:val="0"/>
          <w:w w:val="100"/>
          <w:sz w:val="20"/>
          <w:szCs w:val="20"/>
          <w:lang w:val="ro-RO"/>
        </w:rPr>
        <w:t>privind apărarea împotriva incendiilor</w:t>
      </w:r>
      <w:r>
        <w:rPr>
          <w:rFonts w:eastAsia="Arial" w:cs="Arial" w:ascii="Arial" w:hAnsi="Arial"/>
          <w:color w:val="auto"/>
          <w:spacing w:val="0"/>
          <w:w w:val="100"/>
          <w:sz w:val="20"/>
          <w:szCs w:val="20"/>
          <w:lang w:val="ro-RO"/>
        </w:rPr>
        <w:t xml:space="preserve"> sau alte persoane din cadrul comisiei de apărare împotriva incendiilor care va asigura și aducerea la cunoștință a conținutului acestuia celor care efectuează lucrarea.</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Permisul de lucru cu foc se întocmește în 2 exemplare, din care exemplarul nr. 1 (original) se va păstra la șeful echipei sau lucrătorul care efectuează lucrarea iar exemplarul nr. 2 (copie) la coordonatorul echipei de apărare împotriva incendiilor.</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Permisul de lucru cu foc se eliberează zilnic, cu respectarea procedurilor specifice, chiar dacă focul deschis se folosește în executarea aceleiași lucrări pe o perioadă mai mare de timp.</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În spațiile cu risc ridicat de incendiu sau cu pericol de explozie, lucrările cu foc deschis se vor efectua numai după îndepărtarea materialelor inflamabile și verificarea cu aparatura adecvată a concentrației de vapori inflamabili precum și a posibilităților de apariție accidentală a acestora în zona de lucru cu foc deschis.</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Locurile în care se execută lucrări cu foc deschis vor fi dotate cu mijloace inițiale de stingere a incendiilor, supravegherea efectuându-se cu personal instruit pentru o intervenție operativă, iar în cazul în care lucrările cu foc deschis se efectuează în spații cu risc mare de incendiu sau cu pericol de explozie, supravegherea va fi efectuată de serviciul de pompieri civili sau de echipaje ale pompierilor militari, cu care se vor încheia contracte de prestări servicii potrivit reglementărilor legale.</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Echipamentele și aparatele utilizate pentru executarea lucrărilor cu foc deschis trebuie să fie în bună stare de funcționare. De îndeplinirea acestor cerințe răspunde executantul.</w:t>
      </w:r>
    </w:p>
    <w:p>
      <w:pPr>
        <w:pStyle w:val="Normal"/>
        <w:keepNext/>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Pregătirea locului unde urmează să se execute operațiunea de sudare sau tăiere cu flacăra oxiacetilenică presupune:</w:t>
      </w:r>
    </w:p>
    <w:p>
      <w:pPr>
        <w:pStyle w:val="Normal"/>
        <w:widowControl/>
        <w:spacing w:before="0" w:after="40"/>
        <w:ind w:hanging="360" w:left="720"/>
        <w:jc w:val="left"/>
        <w:rPr>
          <w:rFonts w:ascii="Arial" w:hAnsi="Arial" w:cs="Arial"/>
          <w:sz w:val="20"/>
          <w:szCs w:val="20"/>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înconjurarea acestuia cu panouri necombustibile cu înălțimea de minimum 2 m și bine ancorate de podea;</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protecția pardoselii din material combustibil cu un strat de nisip cu grosimea de 2 cm, cu tablă sau cu plăci din materiale necombustibile;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îndepărtarea materialelor și substanțelor combustibile transportabile la o distanță de cel puțin 10 m de locul sudării sau tăierii;</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curățarea pieselor vopsite pe o porțiune de cel puțin 100 mm de o parte și de alta în jurul punctului de lucru;</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umezirea cu apă sau protejarea cu panouri necombustibile a materialelor și elementelor de construcție combustibile fixe pentru a fi ferite de contactul cu scânteile sau brocurile de sudură, cu flacăra sau cu alte particule de materiale incandescente;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înlăturarea posibilităților ca sursele de foc (scântei, particule incandescente etc.) să intre în contact cu materialele combustibile care se află în încăperile adiacente sau la cota inferioară, prin acoperirea sau obturarea golurilor ori orificiilor din pardoseală și pereți cu plăci sau dopuri necombustibile;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g)</w:t>
        <w:tab/>
      </w:r>
      <w:r>
        <w:rPr>
          <w:rFonts w:eastAsia="Arial" w:cs="Arial" w:ascii="Arial" w:hAnsi="Arial"/>
          <w:color w:val="auto"/>
          <w:spacing w:val="0"/>
          <w:w w:val="100"/>
          <w:sz w:val="20"/>
          <w:szCs w:val="20"/>
          <w:lang w:val="ro-RO"/>
        </w:rPr>
        <w:t>amplasarea la distanțe de siguranță a generatorului de acetilenă transportabil și a buteliei de oxigen, astfel: cel puțin 10 m între acestea și locul de sudură sau orice sursă cu foc deschis și, respectiv, cel puțin 5 m între ele;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h)</w:t>
        <w:tab/>
      </w:r>
      <w:r>
        <w:rPr>
          <w:rFonts w:eastAsia="Arial" w:cs="Arial" w:ascii="Arial" w:hAnsi="Arial"/>
          <w:color w:val="auto"/>
          <w:spacing w:val="0"/>
          <w:w w:val="100"/>
          <w:sz w:val="20"/>
          <w:szCs w:val="20"/>
          <w:lang w:val="ro-RO"/>
        </w:rPr>
        <w:t>dotarea cu mijloace de primă intervenție corespunzătoare;</w:t>
      </w:r>
    </w:p>
    <w:p>
      <w:pPr>
        <w:pStyle w:val="Normal"/>
        <w:widowControl/>
        <w:spacing w:before="0" w:after="12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i)</w:t>
        <w:tab/>
      </w:r>
      <w:r>
        <w:rPr>
          <w:rFonts w:eastAsia="Arial" w:cs="Arial" w:ascii="Arial" w:hAnsi="Arial"/>
          <w:color w:val="auto"/>
          <w:spacing w:val="0"/>
          <w:w w:val="100"/>
          <w:sz w:val="20"/>
          <w:szCs w:val="20"/>
          <w:lang w:val="ro-RO"/>
        </w:rPr>
        <w:t>asigurarea prezenței persoanei desemnate să supravegheze executarea lucrărilor cu foc deschis.</w:t>
      </w:r>
    </w:p>
    <w:p>
      <w:pPr>
        <w:pStyle w:val="Normal"/>
        <w:keepNext/>
        <w:widowControl/>
        <w:numPr>
          <w:ilvl w:val="0"/>
          <w:numId w:val="3"/>
        </w:numPr>
        <w:spacing w:before="120" w:after="60"/>
        <w:ind w:hanging="0" w:left="0"/>
        <w:jc w:val="left"/>
        <w:rPr>
          <w:rFonts w:ascii="Arial" w:hAnsi="Arial" w:cs="Arial"/>
          <w:sz w:val="20"/>
          <w:szCs w:val="20"/>
          <w:lang w:val="fr-FR"/>
        </w:rPr>
      </w:pPr>
      <w:r>
        <w:rPr>
          <w:rFonts w:eastAsia="Arial" w:cs="Arial" w:ascii="Arial" w:hAnsi="Arial"/>
          <w:color w:val="auto"/>
          <w:spacing w:val="0"/>
          <w:w w:val="100"/>
          <w:sz w:val="20"/>
          <w:szCs w:val="20"/>
          <w:lang w:val="ro-RO"/>
        </w:rPr>
        <w:t>În timpul executării trebuie să se asigure: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t>supravegherea permanentă și cu atenție a flăcării, a dispersiei (răspândirii) și a traiectoriilor scânteilor sau particulelor de materiale incandescente și a intensității fluxului de căldură;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strângerea și depozitarea resturilor de electrozi în vase speciale cu nisip sau cu apă;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închiderea robinetelor buteliei de oxigen și a generatorului de acetilenă, dacă durata întreruperii executării lucrării depășește 10 minute;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interzicerea agățării arzătoarelor (chiar stinse) de buteliile de oxigen sau de generatoarele de acetilenă;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neefectuarea de deplasări cu arzătoarele aprinse în afara zonei de lucru sau de urcări pe scări, schele etc.;</w:t>
      </w:r>
    </w:p>
    <w:p>
      <w:pPr>
        <w:pStyle w:val="Normal"/>
        <w:widowControl/>
        <w:spacing w:before="0" w:after="12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evacuarea carbidului din generator în cazul întreruperii lucrului pe o perioadă mai îndelungată.</w:t>
      </w:r>
    </w:p>
    <w:p>
      <w:pPr>
        <w:pStyle w:val="Normal"/>
        <w:keepNext/>
        <w:widowControl/>
        <w:numPr>
          <w:ilvl w:val="0"/>
          <w:numId w:val="3"/>
        </w:numPr>
        <w:spacing w:before="120" w:after="60"/>
        <w:ind w:hanging="0" w:left="0"/>
        <w:jc w:val="left"/>
        <w:rPr>
          <w:rFonts w:ascii="Arial" w:hAnsi="Arial" w:cs="Arial"/>
          <w:sz w:val="20"/>
          <w:szCs w:val="20"/>
          <w:lang w:val="fr-FR"/>
        </w:rPr>
      </w:pPr>
      <w:r>
        <w:rPr>
          <w:rFonts w:eastAsia="Arial" w:cs="Arial" w:ascii="Arial" w:hAnsi="Arial"/>
          <w:color w:val="auto"/>
          <w:spacing w:val="0"/>
          <w:w w:val="100"/>
          <w:sz w:val="20"/>
          <w:szCs w:val="20"/>
          <w:lang w:val="ro-RO"/>
        </w:rPr>
        <w:t>După terminarea lucrării trebuie să se asigure următoarele: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verificarea minuțioasă a locului în care s-a executat lucrarea, precum și a spațiilor adiacente și a celor situate la cotele inferioare sau superioare, pentru a constata dacă nu s-au creat focare de incendiu (zone incandescente, miros de ars sau degajări de fum etc.);</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descoperirea tuturor zonelor protejate, verificându-se dacă starea lor este intactă, și luarea de măsuri în consecință;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verificarea, la anumite intervale, pe parcursul mai multor ore și în timpul nopții, a situației existente la locul în care s-a efectuat lucrarea și în imediata apropiere a acestuia;</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depozitarea în condiții de siguranță a echipamentelor folosite la lucrare;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reamplasarea pe pozițiile inițiale a elementelor și materialelor combustibile la cel puțin 6 ore de la terminarea lucrării;</w:t>
      </w:r>
    </w:p>
    <w:p>
      <w:pPr>
        <w:pStyle w:val="Normal"/>
        <w:widowControl/>
        <w:spacing w:before="0" w:after="12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colectarea nămolului (șlamului) de carbid în containere destinate acestui scop și depozitarea acestora într-un loc special amenajat.</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Lucrările cu foc deschis se vor efectua cu respectarea OMAI 163/2007 – Art. 97 – 105.</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isionNumbers.openFire}}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right="-108"/>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ind w:hanging="0" w:left="0" w:right="0"/>
      <w:jc w:val="center"/>
      <w:rPr>
        <w:b/>
        <w:bCs/>
        <w:color w:val="7A7A7A"/>
        <w:sz w:val="15"/>
        <w:szCs w:val="15"/>
      </w:rPr>
    </w:pPr>
    <w:r>
      <w:rPr>
        <w:rFonts w:eastAsia="Arial" w:cs="Arial" w:ascii="Arial" w:hAnsi="Arial"/>
        <w:b w:val="false"/>
        <w:bCs/>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ind w:hanging="0" w:left="0" w:right="0"/>
      <w:jc w:val="center"/>
      <w:rPr>
        <w:b/>
        <w:bCs/>
        <w:color w:val="7A7A7A"/>
        <w:sz w:val="15"/>
        <w:szCs w:val="15"/>
      </w:rPr>
    </w:pPr>
    <w:r>
      <w:rPr>
        <w:rFonts w:eastAsia="Arial" w:cs="Arial" w:ascii="Arial" w:hAnsi="Arial"/>
        <w:b w:val="false"/>
        <w:bCs/>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ind w:hanging="0" w:left="0" w:right="0"/>
      <w:jc w:val="center"/>
      <w:rPr>
        <w:b/>
        <w:bCs/>
        <w:color w:val="7A7A7A"/>
        <w:sz w:val="15"/>
        <w:szCs w:val="15"/>
      </w:rPr>
    </w:pPr>
    <w:r>
      <w:rPr>
        <w:rFonts w:eastAsia="Arial" w:cs="Arial" w:ascii="Arial" w:hAnsi="Arial"/>
        <w:b w:val="false"/>
        <w:bCs/>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jc w:val="center"/>
      <w:outlineLvl w:val="0"/>
    </w:pPr>
    <w:rPr>
      <w:b/>
      <w:bCs/>
      <w:sz w:val="32"/>
      <w:u w:val="single"/>
    </w:rPr>
  </w:style>
  <w:style w:type="paragraph" w:styleId="Heading2">
    <w:name w:val="heading 2"/>
    <w:basedOn w:val="Normal"/>
    <w:next w:val="Normal"/>
    <w:pPr>
      <w:keepNext w:val="true"/>
      <w:numPr>
        <w:ilvl w:val="1"/>
        <w:numId w:val="1"/>
      </w:numPr>
      <w:jc w:val="center"/>
      <w:outlineLvl w:val="1"/>
    </w:pPr>
    <w:rPr>
      <w:b/>
      <w:bCs/>
      <w:sz w:val="36"/>
    </w:rPr>
  </w:style>
  <w:style w:type="paragraph" w:styleId="Heading3">
    <w:name w:val="heading 3"/>
    <w:basedOn w:val="Normal"/>
    <w:next w:val="Normal"/>
    <w:pPr>
      <w:keepNext w:val="true"/>
      <w:numPr>
        <w:ilvl w:val="2"/>
        <w:numId w:val="1"/>
      </w:numPr>
      <w:ind w:hanging="0" w:left="1140" w:right="0"/>
      <w:outlineLvl w:val="2"/>
    </w:pPr>
    <w:rPr>
      <w:b/>
      <w:bCs/>
    </w:rPr>
  </w:style>
  <w:style w:type="paragraph" w:styleId="Heading4">
    <w:name w:val="heading 4"/>
    <w:basedOn w:val="Normal"/>
    <w:next w:val="Normal"/>
    <w:pPr>
      <w:keepNext w:val="true"/>
      <w:numPr>
        <w:ilvl w:val="3"/>
        <w:numId w:val="1"/>
      </w:numPr>
      <w:ind w:firstLine="708" w:left="1416" w:right="0"/>
      <w:jc w:val="both"/>
      <w:outlineLvl w:val="3"/>
    </w:pPr>
    <w:rPr>
      <w:b/>
      <w:bCs/>
      <w:color w:val="000000"/>
      <w:sz w:val="28"/>
    </w:rPr>
  </w:style>
  <w:style w:type="paragraph" w:styleId="Heading5">
    <w:name w:val="heading 5"/>
    <w:basedOn w:val="Normal"/>
    <w:next w:val="Normal"/>
    <w:pPr>
      <w:keepNext w:val="true"/>
      <w:numPr>
        <w:ilvl w:val="4"/>
        <w:numId w:val="1"/>
      </w:numPr>
      <w:ind w:firstLine="708" w:left="2832" w:right="0"/>
      <w:jc w:val="both"/>
      <w:outlineLvl w:val="4"/>
    </w:pPr>
    <w:rPr>
      <w:b/>
      <w:bCs/>
      <w:color w:val="000000"/>
      <w:sz w:val="28"/>
    </w:rPr>
  </w:style>
  <w:style w:type="paragraph" w:styleId="Heading7">
    <w:name w:val="heading 7"/>
    <w:basedOn w:val="Normal"/>
    <w:next w:val="Normal"/>
    <w:pPr>
      <w:keepNext w:val="true"/>
      <w:numPr>
        <w:ilvl w:val="6"/>
        <w:numId w:val="1"/>
      </w:numPr>
      <w:jc w:val="center"/>
      <w:outlineLvl w:val="6"/>
    </w:pPr>
    <w:rPr>
      <w:sz w:val="28"/>
      <w:lang w:val="en-US"/>
    </w:rPr>
  </w:style>
  <w:style w:type="character" w:styleId="WW8Num1z2">
    <w:name w:val="WW8Num1z2"/>
    <w:rPr>
      <w:rFonts w:ascii="Symbol" w:hAnsi="Symbol" w:cs="Symbol"/>
    </w:rPr>
  </w:style>
  <w:style w:type="character" w:styleId="WW8Num3z0">
    <w:name w:val="WW8Num3z0"/>
    <w:rPr>
      <w:rFonts w:ascii="Wingdings" w:hAnsi="Wingdings" w:cs="Wingdings"/>
    </w:rPr>
  </w:style>
  <w:style w:type="character" w:styleId="WW8Num4z0">
    <w:name w:val="WW8Num4z0"/>
    <w:rPr>
      <w:b/>
    </w:rPr>
  </w:style>
  <w:style w:type="character" w:styleId="WW8Num5z0">
    <w:name w:val="WW8Num5z0"/>
    <w:rPr>
      <w:rFonts w:ascii="Wingdings" w:hAnsi="Wingdings" w:cs="Wingdings"/>
    </w:rPr>
  </w:style>
  <w:style w:type="character" w:styleId="WW8Num7z0">
    <w:name w:val="WW8Num7z0"/>
    <w:rPr>
      <w:b/>
    </w:rPr>
  </w:style>
  <w:style w:type="character" w:styleId="DefaultParagraphFont">
    <w:name w:val="Default Paragraph Font"/>
    <w:rPr/>
  </w:style>
  <w:style w:type="character" w:styleId="PageNumber">
    <w:name w:val="page number"/>
    <w:basedOn w:val="DefaultParagraphFont"/>
    <w:rPr/>
  </w:style>
  <w:style w:type="character" w:styleId="do1">
    <w:name w:val="do1"/>
    <w:rPr>
      <w:b/>
      <w:bCs/>
      <w:sz w:val="26"/>
      <w:szCs w:val="26"/>
    </w:rPr>
  </w:style>
  <w:style w:type="character" w:styleId="tal1">
    <w:name w:val="tal1"/>
    <w:basedOn w:val="DefaultParagraphFont"/>
    <w:rPr/>
  </w:style>
  <w:style w:type="character" w:styleId="tpa1">
    <w:name w:val="tpa1"/>
    <w:basedOn w:val="DefaultParagraphFont"/>
    <w:rPr/>
  </w:style>
  <w:style w:type="character" w:styleId="ar1">
    <w:name w:val="ar1"/>
    <w:rPr>
      <w:b/>
      <w:bCs/>
      <w:sz w:val="22"/>
      <w:szCs w:val="22"/>
    </w:rPr>
  </w:style>
  <w:style w:type="character" w:styleId="li1">
    <w:name w:val="li1"/>
    <w:rPr>
      <w:b/>
      <w:bCs/>
    </w:rPr>
  </w:style>
  <w:style w:type="character" w:styleId="tli1">
    <w:name w:val="tli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style>
  <w:style w:type="paragraph" w:styleId="Footer">
    <w:name w:val="footer"/>
    <w:basedOn w:val="Normal"/>
    <w:pPr>
      <w:tabs>
        <w:tab w:val="clear" w:pos="708"/>
        <w:tab w:val="center" w:pos="4320" w:leader="none"/>
        <w:tab w:val="right" w:pos="8640" w:leader="none"/>
      </w:tabs>
    </w:pPr>
    <w:rPr/>
  </w:style>
  <w:style w:type="paragraph" w:styleId="BodyTextIndent">
    <w:name w:val="Body Text Indent"/>
    <w:basedOn w:val="Normal"/>
    <w:pPr>
      <w:ind w:firstLine="708" w:left="0" w:right="0"/>
      <w:jc w:val="both"/>
    </w:pPr>
    <w:rPr>
      <w:sz w:val="28"/>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LibreOffice/26.8.0.3$Linux_AARCH64 LibreOffice_project/680$Build-3</Application>
  <AppVersion>15.0000</AppVersion>
  <Pages>2</Pages>
  <Words>1113</Words>
  <Characters>6701</Characters>
  <CharactersWithSpaces>7741</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2024-03-04T10:09:00Z</dcterms:created>
  <dc:creator/>
  <dc:description/>
  <dc:language>ro-RO</dc:language>
  <cp:lastModifiedBy/>
  <cp:lastPrinted>2024-01-26T17:49:00Z</cp:lastPrinted>
  <dcterms:modified xsi:type="dcterms:W3CDTF">2026-10-10T01:57:51Z</dcterms:modified>
  <cp:revision>6</cp:revision>
  <dc:subject/>
  <dc:title/>
</cp:coreProperties>
</file>