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ecisionNumbers.technician}}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Legii 307/2006 – Art. 12 alin. (3), Art. 19 al</w:t>
      </w:r>
      <w:r>
        <w:rPr>
          <w:rFonts w:eastAsia="Arial" w:cs="Arial" w:ascii="Arial" w:hAnsi="Arial"/>
          <w:bCs/>
          <w:color w:val="auto"/>
          <w:spacing w:val="0"/>
          <w:w w:val="100"/>
          <w:sz w:val="20"/>
          <w:szCs w:val="20"/>
          <w:lang w:val="ro-RO"/>
        </w:rPr>
        <w:t>in. (1</w:t>
      </w:r>
      <w:r>
        <w:rPr>
          <w:rFonts w:eastAsia="Arial" w:cs="Arial" w:ascii="Arial" w:hAnsi="Arial"/>
          <w:color w:val="auto"/>
          <w:spacing w:val="0"/>
          <w:w w:val="100"/>
          <w:sz w:val="20"/>
          <w:szCs w:val="20"/>
          <w:lang w:val="ro-RO"/>
        </w:rPr>
        <w:t>) lit. a) și Art. 27 și ale OMAI 163/2007 – Art. 17 lit. i), {{client.representativeName}}, în calitate de {{client.representativeRole}} în cadrul {{client.legalName}}, începând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cs="Arial"/>
        </w:rPr>
      </w:pPr>
      <w:r>
        <w:rPr>
          <w:rFonts w:eastAsia="Arial" w:cs="Arial" w:ascii="Arial" w:hAnsi="Arial"/>
          <w:b w:val="false"/>
          <w:i w:val="false"/>
          <w:color w:val="auto"/>
          <w:spacing w:val="0"/>
          <w:w w:val="100"/>
          <w:sz w:val="20"/>
          <w:szCs w:val="20"/>
          <w:lang w:val="ro-RO"/>
        </w:rPr>
        <w:t>Modul de îndeplinire a atribuțiilor de cadru tehnic cu atribuții în domeniul apărării împotriva incendiilor pentru {{client.legalName}}, astfel:</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{{client.legalName}}, care nu se încadrează în criteriile prevăzute de Legea 307/2006 – Art. 12 alin. (2), încheie, conform Legii 307/2006 – Art. 12 alin. (3), contract de prestări servicii cu {{provider.legalName}}{{#fireSafetyTechnician.authorization}}, persoană juridică autorizată să îndeplinească atribuții de cadru tehnic în condițiile Legii 307/2006 – Art. 12², prin autorizația {{fireSafetyTechnician.authorization}}{{/fireSafetyTechnician.authorization}}, pentru îndeplinirea atribuțiilor de cadru tehnic cu atribuții în domeniul apărării împotriva incendiilor.</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Atribuțiile de cadru tehnic se îndeplinesc, din partea {{provider.legalName}}, de {{fireSafetyTechnician.name}}, cadru tehnic cu atribuții în domeniul apărării împotriva incendiilor, certificat {{fireSafetyTechnician.certificate}}, a cărui copie este anexată contractului de prestări servicii.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Activitatea cadrului tehnic se desfășoară în limitele stabilite de Legea 307/2006 – Art. 27 și de certificatul de cadru tehnic. Obligațiile principale ale cadrului tehnic, prevăzute la Art. 27 alin. (1), sunt redate în anexa prezentei decizii.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De modul de îndeplinire a prevederilor contractului din partea beneficiarului răspunde {{fire.coordinator.name}}, având funcția de {{fire.coordinator.jobTitle}} în cadrul {{client.legalName}}.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isionNumbers.technician}}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keepNext w:val="tru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br w:type="page"/>
      </w:r>
      <w:r>
        <w:rPr>
          <w:rFonts w:eastAsia="Arial" w:cs="Arial" w:ascii="Arial" w:hAnsi="Arial"/>
          <w:b/>
          <w:i w:val="false"/>
          <w:color w:val="auto"/>
          <w:spacing w:val="0"/>
          <w:w w:val="100"/>
          <w:sz w:val="20"/>
          <w:szCs w:val="20"/>
          <w:lang w:val="ro-RO"/>
        </w:rPr>
        <w:t>ANEXA</w:t>
      </w:r>
    </w:p>
    <w:p>
      <w:pPr>
        <w:pStyle w:val="Normal"/>
        <w:keepNext w:val="false"/>
        <w:pageBreakBefore w:val="false"/>
        <w:widowControl/>
        <w:numPr>
          <w:ilvl w:val="0"/>
          <w:numId w:val="0"/>
        </w:numPr>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Decizia nr. {{fire.decisionNumbers.technician}} din {{issueDate}}</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OBLIGAȚIILE PRINCIPALE ALE CADRULUI TEHNIC CU ATRIBUȚII ÎN DOMENIUL APĂRĂRII ÎMPOTRIVA INCENDIILOR</w:t>
      </w:r>
    </w:p>
    <w:p>
      <w:pPr>
        <w:pStyle w:val="Normal"/>
        <w:keepNext/>
        <w:pageBreakBefore w:val="false"/>
        <w:widowControl/>
        <w:numPr>
          <w:ilvl w:val="0"/>
          <w:numId w:val="0"/>
        </w:numPr>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numPr>
          <w:ilvl w:val="0"/>
          <w:numId w:val="0"/>
        </w:numPr>
        <w:spacing w:before="480" w:after="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240"/>
        <w:ind w:hanging="0" w:left="0" w:righ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p>
      <w:pPr>
        <w:pStyle w:val="Normal"/>
        <w:keepNext w:val="false"/>
        <w:pageBreakBefore w:val="false"/>
        <w:widowControl/>
        <w:numPr>
          <w:ilvl w:val="0"/>
          <w:numId w:val="0"/>
        </w:numPr>
        <w:spacing w:before="0" w:after="48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{{client.representativeName}}</w:t>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doNotUseHTMLParagraphAutoSpacing/>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b/>
    </w:rPr>
  </w:style>
  <w:style w:type="character" w:styleId="WW8Num5z0">
    <w:name w:val="WW8Num5z0"/>
    <w:rPr/>
  </w:style>
  <w:style w:type="character" w:styleId="WW8Num7z0">
    <w:name w:val="WW8Num7z0"/>
    <w:rPr>
      <w:b/>
    </w:rPr>
  </w:style>
  <w:style w:type="character" w:styleId="WW8Num8z0">
    <w:name w:val="WW8Num8z0"/>
    <w:rPr>
      <w:b/>
    </w:rPr>
  </w:style>
  <w:style w:type="character" w:styleId="WW8Num8z1">
    <w:name w:val="WW8Num8z1"/>
    <w:rPr>
      <w:rFonts w:ascii="Courier New" w:hAnsi="Courier New" w:cs="Courier New"/>
    </w:rPr>
  </w:style>
  <w:style w:type="character" w:styleId="WW8Num8z2">
    <w:name w:val="WW8Num8z2"/>
    <w:rPr>
      <w:rFonts w:ascii="Wingdings" w:hAnsi="Wingdings" w:cs="Wingdings"/>
    </w:rPr>
  </w:style>
  <w:style w:type="character" w:styleId="WW8Num8z3">
    <w:name w:val="WW8Num8z3"/>
    <w:rPr>
      <w:rFonts w:ascii="Symbol" w:hAnsi="Symbol" w:cs="Symbol"/>
    </w:rPr>
  </w:style>
  <w:style w:type="character" w:styleId="WW8Num9z0">
    <w:name w:val="WW8Num9z0"/>
    <w:rPr>
      <w:b/>
    </w:rPr>
  </w:style>
  <w:style w:type="character" w:styleId="WW8Num10z0">
    <w:name w:val="WW8Num10z0"/>
    <w:rPr>
      <w:b/>
    </w:rPr>
  </w:style>
  <w:style w:type="character" w:styleId="WW8Num11z0">
    <w:name w:val="WW8Num11z0"/>
    <w:rPr>
      <w:b/>
    </w:rPr>
  </w:style>
  <w:style w:type="character" w:styleId="WW8Num13z0">
    <w:name w:val="WW8Num13z0"/>
    <w:rPr>
      <w:b/>
      <w:bCs/>
    </w:rPr>
  </w:style>
  <w:style w:type="character" w:styleId="WW8Num14z0">
    <w:name w:val="WW8Num14z0"/>
    <w:rPr>
      <w:b/>
    </w:rPr>
  </w:style>
  <w:style w:type="character" w:styleId="WW8Num15z0">
    <w:name w:val="WW8Num15z0"/>
    <w:rPr>
      <w:b/>
    </w:rPr>
  </w:style>
  <w:style w:type="character" w:styleId="WW8Num17z0">
    <w:name w:val="WW8Num17z0"/>
    <w:rPr>
      <w:rFonts w:ascii="Symbol" w:hAnsi="Symbol" w:cs="Symbol"/>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8z3">
    <w:name w:val="WW8Num18z3"/>
    <w:rPr>
      <w:rFonts w:ascii="Symbol" w:hAnsi="Symbol" w:cs="Symbol"/>
    </w:rPr>
  </w:style>
  <w:style w:type="character" w:styleId="WW8Num19z0">
    <w:name w:val="WW8Num19z0"/>
    <w:rPr/>
  </w:style>
  <w:style w:type="character" w:styleId="WW8Num20z0">
    <w:name w:val="WW8Num20z0"/>
    <w:rPr>
      <w:b/>
    </w:rPr>
  </w:style>
  <w:style w:type="character" w:styleId="WW8Num21z0">
    <w:name w:val="WW8Num21z0"/>
    <w:rPr>
      <w:rFonts w:ascii="Wingdings" w:hAnsi="Wingdings" w:cs="Wingdings"/>
      <w:sz w:val="16"/>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1z3">
    <w:name w:val="WW8Num21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674</Words>
  <Characters>5000</Characters>
  <CharactersWithSpaces>5620</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2024-03-04T10:18:00Z</dcterms:created>
  <dc:creator/>
  <dc:description/>
  <dc:language>ro-RO</dc:language>
  <cp:lastModifiedBy/>
  <cp:lastPrinted>2024-03-04T15:22:00Z</cp:lastPrinted>
  <dcterms:modified xsi:type="dcterms:W3CDTF">2026-10-10T12:45:23Z</dcterms:modified>
  <cp:revision>7</cp:revision>
  <dc:subject/>
  <dc:title/>
</cp:coreProperties>
</file>