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la locul de muncă și instruirea periodică pentru {{#training.administrative}}personalul tehnico-administrativ și pentru {{/training.administrative}}personalul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 2006, Art. 80¹)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 xml:space="preserve">H.G. 1425/ 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 2006,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 xml:space="preserve">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potrivit tematicii de instruire</w:t>
      </w:r>
      <w:r>
        <w:rPr>
          <w:rStyle w:val="PageNumber"/>
          <w:rFonts w:eastAsia="Arial" w:cs="Arial" w:ascii="Arial" w:hAnsi="Arial"/>
          <w:color w:val="auto"/>
          <w:spacing w:val="0"/>
          <w:w w:val="100"/>
          <w:sz w:val="20"/>
          <w:szCs w:val="20"/>
          <w:lang w:val="ro-RO"/>
        </w:rPr>
        <w:t xml:space="preserv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