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9.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5.xml" ContentType="application/vnd.openxmlformats-officedocument.wordprocessingml.header+xml"/>
  <Override PartName="/word/media/image1.wmf" ContentType="image/x-wmf"/>
  <Override PartName="/word/media/image2.wmf" ContentType="image/x-wmf"/>
  <Override PartName="/word/media/image9.wmf" ContentType="image/x-wmf"/>
  <Override PartName="/word/footer1.xml" ContentType="application/vnd.openxmlformats-officedocument.wordprocessingml.footer+xml"/>
  <Override PartName="/word/footer5.xml" ContentType="application/vnd.openxmlformats-officedocument.wordprocessingml.footer+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fontTable.xml" ContentType="application/vnd.openxmlformats-officedocument.wordprocessingml.fontTable+xml"/>
  <Override PartName="/word/header7.xml" ContentType="application/vnd.openxmlformats-officedocument.wordprocessingml.header+xml"/>
  <Override PartName="/word/header8.xml" ContentType="application/vnd.openxmlformats-officedocument.wordprocessingml.header+xml"/>
  <Override PartName="/word/footer9.xml" ContentType="application/vnd.openxmlformats-officedocument.wordprocessingml.footer+xml"/>
  <Override PartName="/word/styles.xml" ContentType="application/vnd.openxmlformats-officedocument.wordprocessingml.styles+xml"/>
  <Override PartName="/word/header6.xml" ContentType="application/vnd.openxmlformats-officedocument.wordprocessingml.header+xml"/>
  <Override PartName="/word/numbering.xml" ContentType="application/vnd.openxmlformats-officedocument.wordprocessingml.numbering+xml"/>
  <Override PartName="/word/footer8.xml" ContentType="application/vnd.openxmlformats-officedocument.wordprocessingml.footer+xml"/>
  <Override PartName="/word/footer7.xml" ContentType="application/vnd.openxmlformats-officedocument.wordprocessingml.footer+xml"/>
  <Override PartName="/word/footnotes.xml" ContentType="application/vnd.openxmlformats-officedocument.wordprocessingml.footnotes+xml"/>
  <Override PartName="/word/footer6.xml" ContentType="application/vnd.openxmlformats-officedocument.wordprocessingml.footer+xml"/>
  <Override PartName="/word/settings.xml" ContentType="application/vnd.openxmlformats-officedocument.wordprocessingml.settings+xml"/>
  <Override PartName="/word/footer4.xml" ContentType="application/vnd.openxmlformats-officedocument.wordprocessingml.footer+xml"/>
  <Override PartName="/word/theme/theme1.xml" ContentType="application/vnd.openxmlformats-officedocument.theme+xml"/>
  <Override PartName="/word/document.xml" ContentType="application/vnd.openxmlformats-officedocument.wordprocessingml.document.mai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widowControl/>
        <w:spacing w:before="0" w:after="0"/>
        <w:ind w:firstLine="720" w:left="5040"/>
        <w:jc w:val="left"/>
        <w:rPr>
          <w:rFonts w:ascii="Arial" w:hAnsi="Arial" w:cs="Arial"/>
          <w:sz w:val="2"/>
          <w:szCs w:val="24"/>
          <w:lang w:val="it-CH"/>
        </w:rPr>
      </w:pPr>
      <w:r>
        <w:rPr>
          <w:rFonts w:eastAsia="Arial" w:cs="Arial" w:ascii="Arial" w:hAnsi="Arial"/>
          <w:color w:val="auto"/>
          <w:spacing w:val="0"/>
          <w:w w:val="100"/>
          <w:sz w:val="2"/>
          <w:szCs w:val="20"/>
          <w:lang w:val="ro-RO"/>
        </w:rPr>
      </w:r>
    </w:p>
    <w:p>
      <w:pPr>
        <w:pStyle w:val="Normal"/>
        <w:widowControl/>
        <w:spacing w:before="0" w:after="0"/>
        <w:ind w:hanging="0"/>
        <w:jc w:val="left"/>
        <w:rPr>
          <w:sz w:val="2"/>
          <w:lang w:val="it-CH"/>
        </w:rPr>
      </w:pPr>
      <w:r>
        <w:rPr>
          <w:rFonts w:eastAsia="Arial" w:cs="Arial" w:ascii="Arial" w:hAnsi="Arial"/>
          <w:color w:val="auto"/>
          <w:spacing w:val="0"/>
          <w:w w:val="100"/>
          <w:sz w:val="2"/>
          <w:szCs w:val="20"/>
          <w:lang w:val="ro-RO"/>
        </w:rPr>
      </w:r>
    </w:p>
    <w:p>
      <w:pPr>
        <w:pStyle w:val="Normal"/>
        <w:widowControl/>
        <w:spacing w:before="0" w:after="0"/>
        <w:ind w:hanging="0"/>
        <w:jc w:val="left"/>
        <w:rPr>
          <w:sz w:val="2"/>
          <w:lang w:val="it-CH"/>
        </w:rPr>
      </w:pPr>
      <w:r>
        <w:rPr>
          <w:rFonts w:eastAsia="Arial" w:cs="Arial" w:ascii="Arial" w:hAnsi="Arial"/>
          <w:color w:val="auto"/>
          <w:spacing w:val="0"/>
          <w:w w:val="100"/>
          <w:sz w:val="2"/>
          <w:szCs w:val="20"/>
          <w:lang w:val="ro-RO"/>
        </w:rPr>
      </w:r>
    </w:p>
    <w:p>
      <w:pPr>
        <w:pStyle w:val="Normal"/>
        <w:widowControl/>
        <w:spacing w:before="0" w:after="0"/>
        <w:ind w:hanging="0"/>
        <w:jc w:val="left"/>
        <w:rPr>
          <w:sz w:val="2"/>
          <w:lang w:val="it-CH"/>
        </w:rPr>
      </w:pPr>
      <w:r>
        <w:rPr>
          <w:rFonts w:eastAsia="Arial" w:cs="Arial" w:ascii="Arial" w:hAnsi="Arial"/>
          <w:color w:val="auto"/>
          <w:spacing w:val="0"/>
          <w:w w:val="100"/>
          <w:sz w:val="2"/>
          <w:szCs w:val="20"/>
          <w:lang w:val="ro-RO"/>
        </w:rPr>
      </w:r>
    </w:p>
    <w:p>
      <w:pPr>
        <w:pStyle w:val="Normal"/>
        <w:keepNext w:val="true"/>
        <w:widowControl/>
        <w:spacing w:before="0" w:after="0"/>
        <w:ind w:hanging="0"/>
        <w:jc w:val="center"/>
        <w:rPr>
          <w:rFonts w:ascii="Arial Black" w:hAnsi="Arial Black" w:cs="Arial"/>
          <w:b/>
          <w:sz w:val="56"/>
          <w:szCs w:val="56"/>
          <w:lang w:val="it-IT"/>
        </w:rPr>
      </w:pPr>
      <w:r>
        <w:rPr>
          <w:rFonts w:eastAsia="Arial" w:cs="Arial" w:ascii="Arial" w:hAnsi="Arial"/>
          <w:b/>
          <w:color w:val="auto"/>
          <w:spacing w:val="0"/>
          <w:w w:val="100"/>
          <w:sz w:val="24"/>
          <w:szCs w:val="20"/>
          <w:lang w:val="ro-RO"/>
        </w:rPr>
        <w:t>EVALUAREA RISCURILOR DE ACCIDENTARE ȘI/ SAU ÎMBOLNĂVIRE PROFESIONALĂ</w:t>
      </w:r>
    </w:p>
    <w:p>
      <w:pPr>
        <w:pStyle w:val="Normal"/>
        <w:widowControl/>
        <w:spacing w:before="0" w:after="240"/>
        <w:ind w:hanging="0"/>
        <w:jc w:val="center"/>
        <w:rPr>
          <w:rFonts w:ascii="Arial Black" w:hAnsi="Arial Black" w:cs="Arial"/>
          <w:b/>
          <w:sz w:val="56"/>
          <w:szCs w:val="56"/>
          <w:lang w:val="es-ES"/>
        </w:rPr>
      </w:pPr>
      <w:r>
        <w:rPr>
          <w:rFonts w:eastAsia="Arial" w:cs="Arial" w:ascii="Arial" w:hAnsi="Arial"/>
          <w:b/>
          <w:color w:val="auto"/>
          <w:spacing w:val="0"/>
          <w:w w:val="100"/>
          <w:sz w:val="20"/>
          <w:szCs w:val="20"/>
          <w:lang w:val="ro-RO"/>
        </w:rPr>
        <w:t>PENTRU</w:t>
      </w:r>
    </w:p>
    <w:p>
      <w:pPr>
        <w:pStyle w:val="Heading1"/>
        <w:widowControl/>
        <w:spacing w:before="0" w:after="240"/>
        <w:ind w:hanging="0"/>
        <w:jc w:val="center"/>
        <w:rPr>
          <w:rFonts w:ascii="Arial Black" w:hAnsi="Arial Black" w:cs="Arial"/>
          <w:sz w:val="56"/>
          <w:szCs w:val="56"/>
          <w:lang w:val="it-IT"/>
        </w:rPr>
      </w:pPr>
      <w:r>
        <w:rPr>
          <w:rFonts w:eastAsia="Arial" w:cs="Arial" w:ascii="Arial" w:hAnsi="Arial"/>
          <w:color w:val="auto"/>
          <w:spacing w:val="0"/>
          <w:w w:val="100"/>
          <w:sz w:val="20"/>
          <w:szCs w:val="20"/>
          <w:lang w:val="ro-RO"/>
        </w:rPr>
        <w:t>{{client.legalName}}</w:t>
      </w:r>
    </w:p>
    <w:p>
      <w:pPr>
        <w:pStyle w:val="Normal"/>
        <w:widowControl/>
        <w:spacing w:before="0" w:after="0"/>
        <w:ind w:hanging="0"/>
        <w:jc w:val="left"/>
        <w:rPr>
          <w:sz w:val="2"/>
          <w:lang w:val="it-IT"/>
        </w:rPr>
      </w:pPr>
      <w:r>
        <w:rPr>
          <w:rFonts w:eastAsia="Arial" w:cs="Arial" w:ascii="Arial" w:hAnsi="Arial"/>
          <w:color w:val="auto"/>
          <w:spacing w:val="0"/>
          <w:w w:val="100"/>
          <w:sz w:val="2"/>
          <w:szCs w:val="20"/>
          <w:lang w:val="ro-RO"/>
        </w:rPr>
      </w:r>
    </w:p>
    <w:p>
      <w:pPr>
        <w:pStyle w:val="Normal"/>
        <w:widowControl/>
        <w:spacing w:before="0" w:after="0"/>
        <w:ind w:hanging="0"/>
        <w:jc w:val="left"/>
        <w:rPr>
          <w:sz w:val="2"/>
          <w:lang w:val="it-IT"/>
        </w:rPr>
      </w:pPr>
      <w:r>
        <w:rPr>
          <w:rFonts w:eastAsia="Arial" w:cs="Arial" w:ascii="Arial" w:hAnsi="Arial"/>
          <w:color w:val="auto"/>
          <w:spacing w:val="0"/>
          <w:w w:val="100"/>
          <w:sz w:val="2"/>
          <w:szCs w:val="20"/>
          <w:lang w:val="ro-RO"/>
        </w:rPr>
      </w:r>
    </w:p>
    <w:p>
      <w:pPr>
        <w:pStyle w:val="Normal"/>
        <w:widowControl/>
        <w:spacing w:before="0" w:after="0"/>
        <w:ind w:hanging="0"/>
        <w:jc w:val="left"/>
        <w:rPr>
          <w:rStyle w:val="tal1"/>
          <w:rFonts w:ascii="Arial" w:hAnsi="Arial" w:cs="Arial"/>
          <w:color w:val="auto"/>
          <w:sz w:val="2"/>
          <w:szCs w:val="22"/>
          <w:lang w:val="ro-RO"/>
        </w:rPr>
      </w:pPr>
      <w:r>
        <w:rPr>
          <w:rFonts w:cs="Arial" w:ascii="Arial" w:hAnsi="Arial"/>
          <w:sz w:val="22"/>
          <w:szCs w:val="22"/>
          <w:lang w:val="it-IT"/>
        </w:rPr>
      </w:r>
    </w:p>
    <w:p>
      <w:pPr>
        <w:pStyle w:val="Normal"/>
        <w:keepNext w:val="true"/>
        <w:widowControl/>
        <w:spacing w:before="0" w:after="120"/>
        <w:ind w:hanging="0"/>
        <w:jc w:val="left"/>
        <w:rPr>
          <w:rFonts w:ascii="Arial" w:hAnsi="Arial" w:cs="Arial"/>
          <w:sz w:val="28"/>
        </w:rPr>
      </w:pPr>
      <w:r>
        <w:rPr>
          <w:rFonts w:eastAsia="Arial" w:cs="Arial" w:ascii="Arial" w:hAnsi="Arial"/>
          <w:b/>
          <w:color w:val="auto"/>
          <w:spacing w:val="0"/>
          <w:w w:val="100"/>
          <w:sz w:val="20"/>
          <w:szCs w:val="20"/>
          <w:lang w:val="ro-RO"/>
        </w:rPr>
        <w:t>Persoane implicate în procesul de predare-primire a lucrării de evaluare a riscurilor</w:t>
      </w:r>
    </w:p>
    <w:tbl>
      <w:tblPr>
        <w:tblW w:w="5000" w:type="pct"/>
        <w:jc w:val="left"/>
        <w:tblInd w:w="55" w:type="dxa"/>
        <w:tblLayout w:type="fixed"/>
        <w:tblCellMar>
          <w:top w:w="55" w:type="dxa"/>
          <w:left w:w="55" w:type="dxa"/>
          <w:bottom w:w="55" w:type="dxa"/>
          <w:right w:w="55" w:type="dxa"/>
        </w:tblCellMar>
      </w:tblPr>
      <w:tblGrid>
        <w:gridCol w:w="877"/>
        <w:gridCol w:w="2046"/>
        <w:gridCol w:w="3093"/>
        <w:gridCol w:w="1000"/>
        <w:gridCol w:w="2339"/>
      </w:tblGrid>
      <w:tr>
        <w:trPr>
          <w:tblHeader w:val="true"/>
        </w:trPr>
        <w:tc>
          <w:tcPr>
            <w:tcW w:w="877"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Nr. crt.</w:t>
            </w:r>
          </w:p>
        </w:tc>
        <w:tc>
          <w:tcPr>
            <w:tcW w:w="204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Activitate desfășurată</w:t>
            </w:r>
          </w:p>
        </w:tc>
        <w:tc>
          <w:tcPr>
            <w:tcW w:w="3093"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Numele și prenumele</w:t>
            </w:r>
          </w:p>
        </w:tc>
        <w:tc>
          <w:tcPr>
            <w:tcW w:w="1000"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Data</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Semnătura</w:t>
            </w:r>
          </w:p>
        </w:tc>
      </w:tr>
      <w:tr>
        <w:trPr/>
        <w:tc>
          <w:tcPr>
            <w:tcW w:w="877" w:type="dxa"/>
            <w:tcBorders>
              <w:left w:val="single" w:sz="4" w:space="0" w:color="000000"/>
              <w:bottom w:val="single" w:sz="4" w:space="0" w:color="000000"/>
            </w:tcBorders>
            <w:tcMar>
              <w:top w:w="277" w:type="dxa"/>
              <w:bottom w:w="277" w:type="dxa"/>
            </w:tcMar>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w:t>
            </w:r>
          </w:p>
        </w:tc>
        <w:tc>
          <w:tcPr>
            <w:tcW w:w="2046" w:type="dxa"/>
            <w:tcBorders>
              <w:left w:val="single" w:sz="4" w:space="0" w:color="000000"/>
              <w:bottom w:val="single" w:sz="4" w:space="0" w:color="000000"/>
            </w:tcBorders>
            <w:tcMar>
              <w:top w:w="277" w:type="dxa"/>
              <w:bottom w:w="277"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Întocmit</w:t>
            </w:r>
          </w:p>
        </w:tc>
        <w:tc>
          <w:tcPr>
            <w:tcW w:w="3093" w:type="dxa"/>
            <w:tcBorders>
              <w:left w:val="single" w:sz="4" w:space="0" w:color="000000"/>
              <w:bottom w:val="single" w:sz="4" w:space="0" w:color="000000"/>
            </w:tcBorders>
            <w:tcMar>
              <w:top w:w="277" w:type="dxa"/>
              <w:bottom w:w="277" w:type="dxa"/>
            </w:tcMar>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{{specialist.name}} – {{specialist.professionalTitle}}, {{provider.legalName}}</w:t>
            </w:r>
          </w:p>
        </w:tc>
        <w:tc>
          <w:tcPr>
            <w:tcW w:w="1000" w:type="dxa"/>
            <w:tcBorders>
              <w:left w:val="single" w:sz="4" w:space="0" w:color="000000"/>
              <w:bottom w:val="single" w:sz="4" w:space="0" w:color="000000"/>
              <w:right w:val="single" w:sz="4" w:space="0" w:color="000000"/>
            </w:tcBorders>
            <w:tcMar>
              <w:top w:w="277" w:type="dxa"/>
              <w:bottom w:w="277"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c>
          <w:tcPr>
            <w:tcW w:w="2339" w:type="dxa"/>
            <w:tcBorders>
              <w:left w:val="single" w:sz="4" w:space="0" w:color="000000"/>
              <w:bottom w:val="single" w:sz="4" w:space="0" w:color="000000"/>
              <w:right w:val="single" w:sz="4" w:space="0" w:color="000000"/>
            </w:tcBorders>
            <w:tcMar>
              <w:top w:w="277" w:type="dxa"/>
              <w:bottom w:w="277"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r>
      <w:tr>
        <w:trPr/>
        <w:tc>
          <w:tcPr>
            <w:tcW w:w="877" w:type="dxa"/>
            <w:tcBorders>
              <w:left w:val="single" w:sz="4" w:space="0" w:color="000000"/>
              <w:bottom w:val="single" w:sz="4" w:space="0" w:color="000000"/>
            </w:tcBorders>
            <w:tcMar>
              <w:top w:w="277" w:type="dxa"/>
              <w:bottom w:w="277"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w:t>
            </w:r>
          </w:p>
        </w:tc>
        <w:tc>
          <w:tcPr>
            <w:tcW w:w="2046" w:type="dxa"/>
            <w:tcBorders>
              <w:left w:val="single" w:sz="4" w:space="0" w:color="000000"/>
              <w:bottom w:val="single" w:sz="4" w:space="0" w:color="000000"/>
            </w:tcBorders>
            <w:tcMar>
              <w:top w:w="277" w:type="dxa"/>
              <w:bottom w:w="277"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Aprobat</w:t>
            </w:r>
          </w:p>
        </w:tc>
        <w:tc>
          <w:tcPr>
            <w:tcW w:w="3093" w:type="dxa"/>
            <w:tcBorders>
              <w:left w:val="single" w:sz="4" w:space="0" w:color="000000"/>
              <w:bottom w:val="single" w:sz="4" w:space="0" w:color="000000"/>
            </w:tcBorders>
            <w:tcMar>
              <w:top w:w="277" w:type="dxa"/>
              <w:bottom w:w="277" w:type="dxa"/>
            </w:tcMar>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{{client.representativeName}} – {{client.representativeRole}}, {{client.legalName}}</w:t>
            </w:r>
          </w:p>
        </w:tc>
        <w:tc>
          <w:tcPr>
            <w:tcW w:w="1000" w:type="dxa"/>
            <w:tcBorders>
              <w:left w:val="single" w:sz="4" w:space="0" w:color="000000"/>
              <w:bottom w:val="single" w:sz="4" w:space="0" w:color="000000"/>
              <w:right w:val="single" w:sz="4" w:space="0" w:color="000000"/>
            </w:tcBorders>
            <w:tcMar>
              <w:top w:w="277" w:type="dxa"/>
              <w:bottom w:w="277"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c>
          <w:tcPr>
            <w:tcW w:w="2339" w:type="dxa"/>
            <w:tcBorders>
              <w:left w:val="single" w:sz="4" w:space="0" w:color="000000"/>
              <w:bottom w:val="single" w:sz="4" w:space="0" w:color="000000"/>
              <w:right w:val="single" w:sz="4" w:space="0" w:color="000000"/>
            </w:tcBorders>
            <w:tcMar>
              <w:top w:w="277" w:type="dxa"/>
              <w:bottom w:w="277"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r>
    </w:tbl>
    <w:p>
      <w:pPr>
        <w:pStyle w:val="Normal"/>
        <w:keepNext w:val="false"/>
        <w:pageBreakBefore w:val="false"/>
        <w:widowControl/>
        <w:numPr>
          <w:ilvl w:val="0"/>
          <w:numId w:val="0"/>
        </w:numPr>
        <w:spacing w:before="240" w:after="120"/>
        <w:ind w:hanging="0" w:left="0"/>
        <w:jc w:val="left"/>
        <w:rPr>
          <w:rFonts w:ascii="Arial" w:hAnsi="Arial" w:cs="Arial"/>
          <w:sz w:val="20"/>
          <w:szCs w:val="20"/>
        </w:rPr>
      </w:pPr>
      <w:r>
        <w:rPr>
          <w:rFonts w:eastAsia="Arial" w:cs="Arial" w:ascii="Arial" w:hAnsi="Arial"/>
          <w:b w:val="false"/>
          <w:color w:val="auto"/>
          <w:sz w:val="20"/>
          <w:szCs w:val="20"/>
          <w:lang w:val="ro-RO"/>
        </w:rPr>
        <w:t xml:space="preserve">Evaluarea a fost realizată la data de {{issueDate}}.</w:t>
      </w:r>
    </w:p>
    <w:p>
      <w:pPr>
        <w:pStyle w:val="Normal"/>
        <w:keepNext w:val="true"/>
        <w:pageBreakBefore/>
        <w:widowControl/>
        <w:tabs>
          <w:tab w:val="clear" w:pos="720"/>
          <w:tab w:val="left" w:pos="567" w:leader="none"/>
        </w:tabs>
        <w:spacing w:before="0" w:after="120"/>
        <w:ind w:hanging="0"/>
        <w:jc w:val="center"/>
        <w:rPr>
          <w:rFonts w:ascii="Arial" w:hAnsi="Arial" w:cs="Arial"/>
          <w:b/>
          <w:sz w:val="20"/>
          <w:szCs w:val="20"/>
          <w:lang w:val="it-IT"/>
        </w:rPr>
      </w:pPr>
      <w:r>
        <w:rPr>
          <w:rFonts w:eastAsia="Arial" w:cs="Arial" w:ascii="Arial" w:hAnsi="Arial"/>
          <w:b/>
          <w:color w:val="auto"/>
          <w:spacing w:val="0"/>
          <w:w w:val="100"/>
          <w:sz w:val="20"/>
          <w:szCs w:val="20"/>
          <w:lang w:val="ro-RO"/>
        </w:rPr>
        <w:t>Cuprins</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Capitolul I. INTRODUCERE ÎN SISTEMUL DE EVALUARE D.P.D.V. AL SECURITĂȚII ȘI SĂNĂTĂȚII ÎN MUNCĂ</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Capitolul II. PREZENTAREA METODEI ELABORATE DE I.N.C.D.P.M. BUCUREȘTI PENTRU EVALUAREA RISCURILOR DE ACCIDENTARE ȘI ÎMBOLNĂVIRE PROFESIONALĂ</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Subcapitolul II.I. PREMISE TEORETICE</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Subcapitolul II.II. DESCRIEREA METODEI</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Subcapitolul II.III. APLICAREA METODEI</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Capitolul III. PREZENTAREA UNITĂȚII</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Capitolul IV. FORMAREA ECHIPELOR (COLECTIVULUI) DE EVALUARE A RISCURILOR DE ACCIDENTARE ȘI/ SAU ÎMBOLNĂVIRE PROFESIONALĂ PENTRU {{client.legalName}}</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Anexa Nr. 1. LISTA DE IDENTIFICARE A FACTORILOR DE RISC</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Anexa Nr. 2. LISTA DE CONSECINȚE POSIBILE ALE ACȚIUNII FACTORILOR DE RISC ASUPRA ORGANISMULUI UMAN</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Anexa Nr. 3. SCALA DE COTARE A GRAVITĂȚII ȘI PROBABILITĂȚII CONSECINȚELOR ACȚIUNII FACTORILOR DE RISC ASUPRA ORGANISMULUI UMAN</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Anexa Nr. 4. GRILA DE EVALUARE A RISCURILOR (COMBINAȚIE ÎNTRE GRAVITATEA CONSECINȚELOR ȘI PROBABILITATEA PRODUCERII LOR)</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Anexa Nr. 5. SCALA DE ÎNCADRARE A NIVELURILOR DE RISC/SECURITATE</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Anexa Nr. 6. ORDINEA IERARHICĂ A MĂSURILOR DE PREVENIRE</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BIBLIOGRAFIE</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Capitolul V. UTILIZAREA METODEI ELABORATE DE I.N.C.D.P.M. BUCUREȘTI PENTRU EVALUAREA RISCURILOR DE ACCIDENTARE ȘI ÎMBOLNĂVIRE PROFESIONALĂ LA {{client.legalName}}</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val="false"/>
          <w:color w:val="auto"/>
          <w:sz w:val="20"/>
          <w:szCs w:val="20"/>
          <w:lang w:val="ro-RO"/>
        </w:rPr>
        <w:t xml:space="preserve">{{#riskAssessment.evaluations}}</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Subcapitolul V.{{roman}}. EVALUAREA RISCURILOR DE ACCIDENTARE ȘI ÎMBOLNĂVIRE PROFESIONALĂ PENTRU {{heading}}</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val="false"/>
          <w:color w:val="auto"/>
          <w:sz w:val="20"/>
          <w:szCs w:val="20"/>
          <w:lang w:val="ro-RO"/>
        </w:rPr>
        <w:t xml:space="preserve">{{/riskAssessment.evaluations}}</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Capitolul VI. CONCLUZII GENERALE</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Subcapitolul VI.I. CONCLUZIILE EVALUĂRII</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Subcapitolul VI.II. RECOMANDĂRI</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Subcapitolul VI.III. CONSULTAREA LUCRĂTORILOR ȘI REVIZUIREA EVALUĂRII</w:t>
      </w:r>
    </w:p>
    <w:p>
      <w:pPr>
        <w:pStyle w:val="Normal"/>
        <w:keepNext w:val="true"/>
        <w:pageBreakBefore/>
        <w:widowControl/>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CAPITOLUL I. INTRODUCERE ÎN SISTEMUL DE EVALUARE D.P.D.V. AL SECURITĂȚII ȘI SĂNĂTĂȚII ÎN MUNCĂ</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Punctul de plecare în optimizarea activității de prevenire a accidentelor de muncă și îmbolnăvirilor profesionale într-un sistem îl constituie evaluarea riscurilor din sistemul respectiv.</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Indiferent că este vorba de un loc de muncă, un atelier sau o întreprindere, o asemenea analiză permite ierarhizarea riscurilor în funcție de dimensiunea lor și alocarea eficientă a resurselor pentru măsurile prioritare.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Evaluarea riscurilor presupune identificarea tuturor factorilor de risc din sistemul analizat și cuantificarea dimensiunii lor pe baza combinației dintre doi parametri: gravitatea și frecvența consecinței maxime posibile asupra organismului uman. Se obțin astfel niveluri de risc parțiale pentru fiecare factor de risc, respectiv niveluri de risc global pentru întregul sistem analizat.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Acest principiu de evaluare a riscurilor este inclus deja în standardele europene (CEI 812/85, respectiv EN 292-1/1991, EN 1050/96) și stă la baza diferitelor metode cu aplicabilitate practică. Astfel, SR EN 292-1/1996, preluat în România după standardul european amintit, în capitolul 6 precizează că „factorii ce trebuie luați în considerare la evaluarea riscului sunt probabilitatea producerii unei leziuni sau afectări a sănătății și gravitatea maximă previzibilă a leziunii sau afectării sănătății.”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Obligativitatea evaluării riscurilor la locurile de muncă în țara noastră decurge din legislația actuală în domeniu, care a fost armonizată cu legislația Uniunii Europene privind sănătatea și securitatea în muncă. În Legea 319 / 2006 a securității și sănătății în muncă se prevede la art. 7 al (4) lit. a): „... angajatorul are obligația ...</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să evalueze riscurile pentru securitatea și sănătatea lucrătorilor, inclusiv la alegerea echipamentelor de muncă, a substanțelor sau preparatelor chimice utilizate și la amenajarea locurilor de muncă” iar la art. 12 al (1): „Angajatorul are următoarele obligații: ... să realizeze o evaluare a riscurilor pentru securitatea și sănătatea în muncă, inclusiv pentru acele grupuri sensibile la riscuri specifice”.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Normele metodologice de aplicare a Legii 319 / 2006 la art. 15 al (1) se prevede: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„Activitățile de prevenire și protecție ... sunt următoarele: identificarea pericolelor și evaluarea riscurilor pentru fiecare componentă a sistemului de muncă, pe locuri de muncă/posturi de lucru.”</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Îndeplinirea efectivă a acestei obligații legale se realizează de către personalul din cadrul serviciului de securitate a muncii, cu sprijinul instituțiilor de specialitate sau a persoanelor fizice autorizate (servicii externe).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 asemenea, în Normele metodologice de aplicare a Legii 319/2006 la art. 71 se prevede: „Angajatorul trebuie să informeze comitetul de securitate și sănătate în muncă cu privire la evaluarea</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riscurilor pentru securitate și sănătate, măsurile de prevenire și protecție atât la nivel de unitate, cât și la nivel de loc de muncă și tipuri de posturi de lucru...”</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Pentru facilitarea îndeplinirii obligațiilor legale ale angajatorilor în domeniul evaluării riscurilor de accidentare și îmbolnăvire profesională au fost concepute și sunt utilizate în prezent un număr relativ mare de metode de evaluare a riscurilor de accidentare și îmbolnăvire profesională.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Din multitudinea de metode utilizate pe plan mondial și național pentru evaluarea riscurilor de accidentare și îmbolnăvire profesională, s-a optat pentru utilizarea metodei elaborate de I.N.C.D.P.M. București. Această metodă a fost avizată de Ministerul Muncii și Solidarității Sociale în anul 1993 și a fost experimentată până în prezent în majoritatea ramurilor industriale, aducându-i-se permanent îmbunătățiri.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Metoda elaborată de I.N.C.D.P.M. București face parte din categoria metodelor analitice, semicantitative și constă, în esență, în identificarea tuturor factorilor de risc din sistemul analizat (loc de muncă) cu ajutorul unor liste de control prestabilite și cuantificarea dimensiunii riscului pentru fiecare factor de risc în parte, pe baza combinației dintre gravitatea și frecvența consecinței maxime previzibile. Nivelul de risc global, pe loc de muncă, se determină ca medie ponderată a nivelurilor de risc parțiale, astfel încât compensările să fie minime. Nivelul de securitate rezultă indirect, fiind invers proporțional cu nivelul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Aplicarea metodei se finalizează cu două documente centralizatoare pentru fiecare loc de muncă: fișa de evaluare a riscurilor și fișa de măsuri propuse.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prima fișă se înscriu factorii de risc identificați, parametrii de cuantificare ai acestora, consecința maximă previzibilă, clasele de gravitate și frecvență, nivelul de risc pentru fiecare factor de risc în parte și nivelul de risc global pe loc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Fișa a doua conține măsurile tehnice și organizatorice necesare pentru combaterea acțiunii fiecărui factor de risc de la locul de muncă evaluat, ierarhizate în funcție de nivelurile de risc, începând cu nivelurile foarte mari (7, 6, 5, 4,…). Prin aplicarea acestor măsuri locul de muncă trece de la un nivel de risc superior la niveluri inferioare.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prima parte a lucrării este prezentată o descriere detaliată a metodei elaborate de I.N.C.D.P.M. București (finalitate, principiu, utilizatori, etape, mod de aplicare, procedura de lucru și condiții de aplicare), precum și a instrumentelor de lucru (lista de identificare a factorilor de risc, lista de consecințe, scala de cotare a gravității și a frecvenței, grila de încadrare a nivelurilor de risc etc.).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Partea a doua a lucrării este dedicată prezentării modului concret de utilizare a metodei I.N.C.D.P.M. București în vederea evaluării riscurilor de accidentare și îmbolnăvire profesională pentru locurile de muncă din societatea {{client.legalName}}.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De asemenea, s-au luat în calcul evenimentele de muncă produse în cadrul societății până la data de {{issueDate}}, ponderea evenimentelor de muncă ce au avut loc în societate, specifică fiecărui loc de muncă și fiecărei activități.</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keepNext w:val="true"/>
        <w:widowControl/>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CAPITOLUL II. PREZENTAREA METODEI ELABORATE DE I.N.C.D.P.M. BUCUREȘTI PENTRU EVALUAREA RISCURILOR DE ACCIDENTARE ȘI ÎMBOLNĂVIRE PROFESIONALĂ</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keepNext w:val="true"/>
        <w:widowControl/>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SUBCAPITOLUL II.I. PREMISE TEORETICE</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numPr>
          <w:ilvl w:val="1"/>
          <w:numId w:val="1"/>
        </w:numPr>
        <w:spacing w:before="0" w:after="120"/>
        <w:jc w:val="left"/>
        <w:rPr>
          <w:rFonts w:ascii="Arial" w:hAnsi="Arial" w:cs="Arial"/>
          <w:b/>
          <w:sz w:val="18"/>
          <w:szCs w:val="18"/>
        </w:rPr>
      </w:pPr>
      <w:r>
        <w:rPr>
          <w:rFonts w:eastAsia="Arial" w:cs="Arial" w:ascii="Arial" w:hAnsi="Arial"/>
          <w:b/>
          <w:color w:val="auto"/>
          <w:spacing w:val="0"/>
          <w:w w:val="100"/>
          <w:sz w:val="20"/>
          <w:szCs w:val="20"/>
          <w:lang w:val="ro-RO"/>
        </w:rPr>
        <w:t>Relația risc –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terminologia de specialitate, securitatea omului în procesul de muncă este considerată ca acea stare a sistemului de muncă în care este exclusă posibilitatea de accidentare și îmbolnăvire profesională.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limbajul uzual, securitatea este definită ca faptul de a fi la adăpost de orice pericol, iar riscul – posibilitatea de a ajunge într-o primejdie, pericol potențial</w:t>
      </w:r>
      <w:r>
        <w:rPr>
          <w:rStyle w:val="FootnoteReference"/>
          <w:rFonts w:eastAsia="Arial" w:cs="Arial" w:ascii="Arial" w:hAnsi="Arial"/>
          <w:color w:val="auto"/>
          <w:spacing w:val="0"/>
          <w:w w:val="100"/>
          <w:sz w:val="20"/>
          <w:szCs w:val="20"/>
          <w:lang w:val="ro-RO"/>
        </w:rPr>
        <w:footnoteReference w:id="2"/>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Dacă luăm în considerare sensurile uzuale ale acestor termeni, se poate defini securitatea ca starea sistemului de muncă în care riscul de accidentare și îmbolnăvire este zero.</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Prin urmare, securitatea și riscul sunt două noțiuni abstracte, contrare, care se exclud reciproc.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În realitate, datorită trăsăturilor oricărui sistem de muncă, nu se pot atinge asemenea stări cu caracter de absolut. Nu există sistem în care să fie exclus complet pericolul potențial de accidentare sau îmbolnăvire; apare întotdeauna un risc „rezidual”, fie și numai datorită imprevizibilității acțiunii omului. Dacă nu se fac intervenții corectoare pe parcurs, acest risc rezidual crește, pe măsură ce elementele sistemului de muncă se degradează prin „îmbătrânire”. În consecință, sistemele pot fi caracterizate prin „niveluri de securitate”, respectiv „niveluri de risc”, ca indicatori cantitativi ai stărilor de securitate, respectiv de risc. Definind securitatea ca o funcție de risc y = f(x), unde </w:t>
      </w:r>
      <w:r>
        <w:rPr>
          <w:rFonts w:eastAsia="Arial" w:cs="Arial" w:ascii="Arial" w:hAnsi="Arial"/>
          <w:b w:val="false"/>
          <w:color w:val="auto"/>
          <w:sz w:val="20"/>
          <w:szCs w:val="20"/>
          <w:lang w:val="ro-RO"/>
        </w:rPr>
        <w:t xml:space="preserve">y = 1/x</w:t>
      </w:r>
      <w:r>
        <w:rPr>
          <w:rFonts w:eastAsia="Arial" w:cs="Arial" w:ascii="Arial" w:hAnsi="Arial"/>
          <w:color w:val="auto"/>
          <w:spacing w:val="0"/>
          <w:w w:val="100"/>
          <w:sz w:val="20"/>
          <w:szCs w:val="20"/>
          <w:lang w:val="ro-RO"/>
        </w:rPr>
        <w:t>, se poate afirma că un sistem va fi cu atât mai sigur, cu cât nivelul de risc va fi mai mic și reciproc. Astfel, dacă riscul este zero, din relația dintre cele două variabile rezultă că securitatea tinde către infinit, iar dacă riscul tinde către infinit, securitatea tinde către zero (figura 1.1):</w:t>
      </w:r>
    </w:p>
    <w:p>
      <w:pPr>
        <w:pStyle w:val="Normal"/>
        <w:widowControl/>
        <w:tabs>
          <w:tab w:val="left" w:pos="72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object>
          <v:shapetype id="_x0000_tole_rId4" coordsize="21600,21600" o:spt="4"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4" type="_x0000_tole_rId4" style="width:143pt;height:32pt;mso-wrap-distance-right:0pt" filled="f" o:ole="">
            <v:imagedata r:id="rId5" o:title=""/>
          </v:shape>
          <o:OLEObject Type="Embed" ProgID="Equation.2" ShapeID="ole_rId4" DrawAspect="Content" ObjectID="_2104222801" r:id="rId4"/>
        </w:object>
      </w:r>
      <w:r>
        <w:rPr>
          <w:rFonts w:eastAsia="Arial" w:cs="Arial" w:ascii="Arial" w:hAnsi="Arial"/>
          <w:color w:val="auto"/>
          <w:spacing w:val="0"/>
          <w:w w:val="100"/>
          <w:sz w:val="20"/>
          <w:szCs w:val="20"/>
          <w:lang w:val="ro-RO"/>
        </w:rPr>
        <w:t>.</w:t>
      </w:r>
    </w:p>
    <w:p>
      <w:pPr>
        <w:pStyle w:val="Normal"/>
        <w:widowControl/>
        <w:tabs>
          <w:tab w:val="left" w:pos="720" w:leader="none"/>
          <w:tab w:val="left" w:pos="900" w:leader="none"/>
        </w:tabs>
        <w:spacing w:lineRule="auto" w:line="360" w:before="0" w:after="0"/>
        <w:ind w:hanging="0"/>
        <w:jc w:val="left"/>
        <w:rPr>
          <w:rFonts w:ascii="Arial" w:hAnsi="Arial" w:cs="Arial"/>
          <w:sz w:val="18"/>
          <w:szCs w:val="18"/>
        </w:rPr>
      </w:pPr>
      <w:r>
        <w:rPr>
          <w:rFonts w:eastAsia="Arial" w:cs="Arial" w:ascii="Arial" w:hAnsi="Arial"/>
          <w:color w:val="auto"/>
          <w:spacing w:val="0"/>
          <w:w w:val="100"/>
          <w:sz w:val="2"/>
          <w:szCs w:val="20"/>
          <w:lang w:val="ro-RO"/>
        </w:rPr>
        <w:drawing>
          <wp:inline distT="0" distB="0" distL="0" distR="0">
            <wp:extent cx="2179320" cy="1684020"/>
            <wp:effectExtent l="0" t="0" r="0" b="0"/>
            <wp:docPr id="1" name="Picture 3" descr="crina-fig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3" descr="crina-fig11"/>
                    <pic:cNvPicPr>
                      <a:picLocks noChangeAspect="1" noChangeArrowheads="1"/>
                    </pic:cNvPicPr>
                  </pic:nvPicPr>
                  <pic:blipFill>
                    <a:blip r:embed="rId6">
                      <a:biLevel thresh="50000"/>
                    </a:blip>
                    <a:stretch>
                      <a:fillRect/>
                    </a:stretch>
                  </pic:blipFill>
                  <pic:spPr bwMode="auto">
                    <a:xfrm>
                      <a:off x="0" y="0"/>
                      <a:ext cx="2179320" cy="1684020"/>
                    </a:xfrm>
                    <a:prstGeom prst="rect">
                      <a:avLst/>
                    </a:prstGeom>
                    <a:noFill/>
                  </pic:spPr>
                </pic:pic>
              </a:graphicData>
            </a:graphic>
          </wp:inline>
        </w:drawing>
      </w:r>
    </w:p>
    <w:p>
      <w:pPr>
        <w:pStyle w:val="Normal"/>
        <w:widowControl/>
        <w:tabs>
          <w:tab w:val="left" w:pos="720" w:leader="none"/>
          <w:tab w:val="left" w:pos="900" w:leader="none"/>
        </w:tabs>
        <w:spacing w:lineRule="auto" w:line="360"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Fig. 1.1. Relația risc –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acest context, în practică trebuie admise o limită de risc minim, respectiv un nivel al riscului diferit de zero, dar suficient de mic pentru a se considera că sistemul este sigur, ca și o limită de risc maxim, care să fie echivalentă cu un nivel atât de scăzut de securitate, încât să nu mai fie permisă funcționarea sistemului.</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numPr>
          <w:ilvl w:val="1"/>
          <w:numId w:val="1"/>
        </w:numPr>
        <w:spacing w:before="0" w:after="120"/>
        <w:jc w:val="left"/>
        <w:rPr>
          <w:rFonts w:ascii="Arial" w:hAnsi="Arial" w:cs="Arial"/>
          <w:b/>
          <w:bCs/>
          <w:sz w:val="18"/>
          <w:szCs w:val="18"/>
        </w:rPr>
      </w:pPr>
      <w:r>
        <w:rPr>
          <w:rFonts w:eastAsia="Arial" w:cs="Arial" w:ascii="Arial" w:hAnsi="Arial"/>
          <w:b/>
          <w:bCs/>
          <w:color w:val="auto"/>
          <w:spacing w:val="0"/>
          <w:w w:val="100"/>
          <w:sz w:val="20"/>
          <w:szCs w:val="20"/>
          <w:lang w:val="ro-RO"/>
        </w:rPr>
        <w:t>Noțiunea de risc acceptabil:</w:t>
      </w:r>
    </w:p>
    <w:p>
      <w:pPr>
        <w:pStyle w:val="Normal"/>
        <w:widowControl/>
        <w:spacing w:before="0" w:after="120"/>
        <w:ind w:hanging="0"/>
        <w:jc w:val="left"/>
        <w:rPr>
          <w:rFonts w:ascii="Arial" w:hAnsi="Arial" w:cs="Arial"/>
          <w:bCs/>
          <w:sz w:val="18"/>
          <w:szCs w:val="18"/>
          <w:lang w:eastAsia="en-US"/>
        </w:rPr>
      </w:pPr>
      <w:r>
        <w:rPr>
          <w:rFonts w:eastAsia="Arial" w:cs="Arial" w:ascii="Arial" w:hAnsi="Arial"/>
          <w:bCs/>
          <w:color w:val="auto"/>
          <w:spacing w:val="0"/>
          <w:w w:val="100"/>
          <w:sz w:val="20"/>
          <w:szCs w:val="20"/>
          <w:lang w:val="ro-RO" w:eastAsia="en-US"/>
        </w:rPr>
        <w:t>Riscul reprezintă potențialul ca un eveniment neașteptat să apară sau să nu apară la un moment dat ca urmare a apariției unor fenomene adverse neașteptate.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Riscul a fost definit în literatura de specialitate în domeniul securității muncii prin probabilitatea cu care, într-un proces de muncă, intervine un accident sau o îmbolnăvire profesională, cu o anumită frecvență și gravitate a consecințelor.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Într-adevăr, dacă admitem un anumit risc, putem să-l reprezentăm, în funcție de gravitatea și probabilitatea de producere a consecințelor, prin suprafața unui dreptunghi F</w:t>
      </w:r>
      <w:r>
        <w:rPr>
          <w:rFonts w:eastAsia="Arial" w:cs="Arial" w:ascii="Arial" w:hAnsi="Arial"/>
          <w:color w:val="auto"/>
          <w:spacing w:val="0"/>
          <w:w w:val="100"/>
          <w:sz w:val="20"/>
          <w:szCs w:val="20"/>
          <w:vertAlign w:val="subscript"/>
          <w:lang w:val="ro-RO"/>
        </w:rPr>
        <w:t>1</w:t>
      </w:r>
      <w:r>
        <w:rPr>
          <w:rFonts w:eastAsia="Arial" w:cs="Arial" w:ascii="Arial" w:hAnsi="Arial"/>
          <w:color w:val="auto"/>
          <w:spacing w:val="0"/>
          <w:w w:val="100"/>
          <w:sz w:val="20"/>
          <w:szCs w:val="20"/>
          <w:lang w:val="ro-RO"/>
        </w:rPr>
        <w:t>, dezvoltat pe verticală; rezultă că aceeași suprafață poate fi exprimată și printr-un pătrat F</w:t>
      </w:r>
      <w:r>
        <w:rPr>
          <w:rFonts w:eastAsia="Arial" w:cs="Arial" w:ascii="Arial" w:hAnsi="Arial"/>
          <w:color w:val="auto"/>
          <w:spacing w:val="0"/>
          <w:w w:val="100"/>
          <w:sz w:val="20"/>
          <w:szCs w:val="20"/>
          <w:vertAlign w:val="subscript"/>
          <w:lang w:val="ro-RO"/>
        </w:rPr>
        <w:t>2</w:t>
      </w:r>
      <w:r>
        <w:rPr>
          <w:rFonts w:eastAsia="Arial" w:cs="Arial" w:ascii="Arial" w:hAnsi="Arial"/>
          <w:color w:val="auto"/>
          <w:spacing w:val="0"/>
          <w:w w:val="100"/>
          <w:sz w:val="20"/>
          <w:szCs w:val="20"/>
          <w:lang w:val="ro-RO"/>
        </w:rPr>
        <w:t xml:space="preserve"> sau printr-un dreptunghi F</w:t>
      </w:r>
      <w:r>
        <w:rPr>
          <w:rFonts w:eastAsia="Arial" w:cs="Arial" w:ascii="Arial" w:hAnsi="Arial"/>
          <w:color w:val="auto"/>
          <w:spacing w:val="0"/>
          <w:w w:val="100"/>
          <w:sz w:val="20"/>
          <w:szCs w:val="20"/>
          <w:vertAlign w:val="subscript"/>
          <w:lang w:val="ro-RO"/>
        </w:rPr>
        <w:t>3</w:t>
      </w:r>
      <w:r>
        <w:rPr>
          <w:rFonts w:eastAsia="Arial" w:cs="Arial" w:ascii="Arial" w:hAnsi="Arial"/>
          <w:color w:val="auto"/>
          <w:spacing w:val="0"/>
          <w:w w:val="100"/>
          <w:sz w:val="20"/>
          <w:szCs w:val="20"/>
          <w:lang w:val="ro-RO"/>
        </w:rPr>
        <w:t xml:space="preserve"> extins pe orizontală (figura 1.2).</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toate cele trei cazuri riscul este la fel de mare. În consecință, putem atribui unor cupluri gravitate – probabilitate diferite, același nivel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Dacă unim cele trei dreptunghiuri printr-o linie trasată prin vârfurile care nu sunt pe axele de coordonate, obținem o curbă cu alură de hiperbolă, care descrie legătura dintre cele două variabile: gravitate – probabilitate. Pentru reprezentarea riscului funcție de gravitate și probabilitate, standardul CEN-812/ 85 definește o astfel de curbă drept „curbă de acceptabilitate a riscului” (figura 1.3).</w:t>
      </w:r>
    </w:p>
    <w:p>
      <w:pPr>
        <w:pStyle w:val="Normal"/>
        <w:widowControl/>
        <w:tabs>
          <w:tab w:val="left" w:pos="720" w:leader="none"/>
          <w:tab w:val="left" w:pos="900" w:leader="none"/>
          <w:tab w:val="left" w:pos="1710" w:leader="none"/>
          <w:tab w:val="left" w:pos="3060" w:leader="none"/>
          <w:tab w:val="left" w:pos="3600" w:leader="none"/>
          <w:tab w:val="left" w:pos="4320" w:leader="none"/>
          <w:tab w:val="left" w:pos="4500" w:leader="none"/>
        </w:tabs>
        <w:spacing w:lineRule="auto" w:line="360" w:before="0" w:after="0"/>
        <w:ind w:hanging="0"/>
        <w:jc w:val="left"/>
        <w:rPr>
          <w:rFonts w:ascii="Arial" w:hAnsi="Arial" w:cs="Arial"/>
          <w:sz w:val="18"/>
          <w:szCs w:val="18"/>
        </w:rPr>
      </w:pPr>
      <w:r>
        <w:rPr>
          <w:rFonts w:eastAsia="Arial" w:cs="Arial" w:ascii="Arial" w:hAnsi="Arial"/>
          <w:color w:val="auto"/>
          <w:spacing w:val="0"/>
          <w:w w:val="100"/>
          <w:sz w:val="2"/>
          <w:szCs w:val="20"/>
          <w:lang w:val="ro-RO"/>
        </w:rPr>
        <w:drawing>
          <wp:inline distT="0" distB="0" distL="0" distR="0">
            <wp:extent cx="2225040" cy="1744980"/>
            <wp:effectExtent l="0" t="0" r="0" b="0"/>
            <wp:docPr id="2" name="Picture 4" descr="crina-fig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crina-fig12"/>
                    <pic:cNvPicPr>
                      <a:picLocks noChangeAspect="1" noChangeArrowheads="1"/>
                    </pic:cNvPicPr>
                  </pic:nvPicPr>
                  <pic:blipFill>
                    <a:blip r:embed="rId7">
                      <a:biLevel thresh="50000"/>
                    </a:blip>
                    <a:stretch>
                      <a:fillRect/>
                    </a:stretch>
                  </pic:blipFill>
                  <pic:spPr bwMode="auto">
                    <a:xfrm>
                      <a:off x="0" y="0"/>
                      <a:ext cx="2225040" cy="1744980"/>
                    </a:xfrm>
                    <a:prstGeom prst="rect">
                      <a:avLst/>
                    </a:prstGeom>
                    <a:noFill/>
                  </pic:spPr>
                </pic:pic>
              </a:graphicData>
            </a:graphic>
          </wp:inline>
        </w:drawing>
      </w:r>
    </w:p>
    <w:p>
      <w:pPr>
        <w:pStyle w:val="Normal"/>
        <w:widowControl/>
        <w:tabs>
          <w:tab w:val="left" w:pos="720" w:leader="none"/>
          <w:tab w:val="left" w:pos="900" w:leader="none"/>
          <w:tab w:val="left" w:pos="1710" w:leader="none"/>
          <w:tab w:val="left" w:pos="3060" w:leader="none"/>
          <w:tab w:val="left" w:pos="3600" w:leader="none"/>
          <w:tab w:val="left" w:pos="4320" w:leader="none"/>
          <w:tab w:val="left" w:pos="450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Fig. 1.2. Reprezentarea grafică a echivalenței riscurilor caracterizate prin cupluri diferite de gravitate – probabilitate</w:t>
      </w:r>
    </w:p>
    <w:p>
      <w:pPr>
        <w:pStyle w:val="Normal"/>
        <w:widowControl/>
        <w:tabs>
          <w:tab w:val="left" w:pos="720" w:leader="none"/>
        </w:tabs>
        <w:spacing w:lineRule="auto" w:line="360" w:before="0" w:after="0"/>
        <w:ind w:hanging="0"/>
        <w:jc w:val="left"/>
        <w:rPr>
          <w:rFonts w:ascii="Arial" w:hAnsi="Arial" w:cs="Arial"/>
          <w:sz w:val="18"/>
          <w:szCs w:val="18"/>
        </w:rPr>
      </w:pPr>
      <w:r>
        <w:rPr>
          <w:rFonts w:eastAsia="Arial" w:cs="Arial" w:ascii="Arial" w:hAnsi="Arial"/>
          <w:color w:val="auto"/>
          <w:spacing w:val="0"/>
          <w:w w:val="100"/>
          <w:sz w:val="2"/>
          <w:szCs w:val="20"/>
          <w:lang w:val="ro-RO"/>
        </w:rPr>
        <w:drawing>
          <wp:inline distT="0" distB="0" distL="0" distR="0">
            <wp:extent cx="2628900" cy="1805940"/>
            <wp:effectExtent l="0" t="0" r="0" b="0"/>
            <wp:docPr id="3" name="Picture 5" descr="crina-fig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5" descr="crina-fig13"/>
                    <pic:cNvPicPr>
                      <a:picLocks noChangeAspect="1" noChangeArrowheads="1"/>
                    </pic:cNvPicPr>
                  </pic:nvPicPr>
                  <pic:blipFill>
                    <a:blip r:embed="rId8">
                      <a:biLevel thresh="50000"/>
                    </a:blip>
                    <a:stretch>
                      <a:fillRect/>
                    </a:stretch>
                  </pic:blipFill>
                  <pic:spPr bwMode="auto">
                    <a:xfrm>
                      <a:off x="0" y="0"/>
                      <a:ext cx="2628900" cy="1805940"/>
                    </a:xfrm>
                    <a:prstGeom prst="rect">
                      <a:avLst/>
                    </a:prstGeom>
                    <a:noFill/>
                  </pic:spPr>
                </pic:pic>
              </a:graphicData>
            </a:graphic>
          </wp:inline>
        </w:drawing>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Fig. 1.3 Curba de acceptabilitate a riscului</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Această curbă permite diferențierea între riscul acceptabil și cel inacceptabil. Astfel, riscul de producere a unui eveniment A, cu consecințe grave, dar frecvență foarte mică, situat sub curba de acceptabilitate, este considerat acceptabil, iar riscul evenimentului B, cu consecințe mai puțin grave, dar cu o probabilitate mai mare de apariție, ale cărui coordonate se situează deasupra curbei, este inacceptabil.</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 exemplu, în cazul unei centrale atomice se iau astfel de măsuri încât riscul unui eveniment nuclear – fie el riscul evenimentului A – este caracterizat printr-o gravitate extremă a consecințelor, dar de o probabilitate de producere extrem de mică. Din cauza frecvenței foarte reduse de apariție, activitatea este considerată sigură și riscul acceptat de societate.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schimb, dacă pentru riscul evenimentului B luăm ca exemplu accidentul rutier din activitatea unui conducător auto, deși acest tip de eveniment provoacă consecințe mai puțin grave decât un accident nuclear, probabilitatea de producere este atât de mare (frecvență foarte ridicată), încât locul de muncă al șoferului este considerat nesigur (risc inacceptabil).</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Orice studiu de securitate are drept obiectiv stabilirea riscurilor acceptabile. O asemenea tratare a riscului ridică două probleme: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cum se stabilesc coordonatele riscului: cuplul gravitate – probabilitate;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ce coordonate ale riscului se vor alege pentru a delimita zonele de acceptabilitate de cele de inacceptabilitate.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a le rezolva, premisa de la care s-a pornit în elaborarea metodei de evaluare a fost relația risc – factor de risc.</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bCs/>
          <w:sz w:val="18"/>
          <w:szCs w:val="18"/>
        </w:rPr>
      </w:pPr>
      <w:r>
        <w:rPr>
          <w:rFonts w:eastAsia="Arial" w:cs="Arial" w:ascii="Arial" w:hAnsi="Arial"/>
          <w:b/>
          <w:bCs/>
          <w:color w:val="auto"/>
          <w:spacing w:val="0"/>
          <w:w w:val="100"/>
          <w:sz w:val="20"/>
          <w:szCs w:val="20"/>
          <w:lang w:val="ro-RO"/>
        </w:rPr>
        <w:t>1.3. Determinarea coordonatelor riscului: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Existența riscului într-un sistem de muncă este datorată prezenței factorilor de risc de accidentare și îmbolnăvire profesională. Prin urmare, elementele cu ajutorul cărora poate fi caracterizat riscul, deci pot fi determinate coordonatele sale, sunt de fapt probabilitatea cu care acțiunea unui factor de risc poate conduce la accident și gravitatea consecinței acțiunii factorului de risc asupra victimei.</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consecință, pentru evaluarea riscului, respectiv a securității, este necesară parcurgerea următoarelor etape:</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identificarea factorilor de risc din sistemul analizat;</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stabilirea consecințelor acțiunii asupra victimei, ceea ce înseamnă determinarea gravității lor;</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stabilirea probabilității de acțiune a lor asupra executantului;</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atribuirea nivelurilor de risc funcție de gravitatea și probabilitatea consecințelor acțiunii factorilor de risc.</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 xml:space="preserve"> Modelul teoretic al genezei accidentelor de muncă și bolilor profesionale elaborat în cadrul I.N.C.D.P.M. București, abordând sistematic cauzalitatea acestor evenimente, permite elaborarea unui instrument pragmatic pentru identificarea tuturor factorilor de risc dintr-un sistem (Anexa 1).</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condițiile unui sistem de muncă real, aflat în funcțiune, nu există suficiente resurse (de timp, financiare, tehnice etc.) pentru ca să se poată interveni simultan asupra tuturor factorilor de risc de accidentare și îmbolnăvire profesională. Chiar dacă ar exista, criteriul eficienței (atât în sensul restrâns, al eficienței economice, cât și al celei sociale) interzice o astfel de acțiune. Din acest motiv, nici în cadrul analizelor de securitate nu se justifică luarea lor integral în considerare. Din multitudinea factorilor de risc a căror înlănțuire se finalizează potențial cu un accident sau o îmbolnăvire, factorii care pot reprezenta cauze finale, directe, sunt cei a căror eliminare garantează imposibilitatea producerii evenimentului, deci devine obligatorie orientarea studiului asupra acestora.</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B.</w:t>
      </w:r>
      <w:r>
        <w:rPr>
          <w:rFonts w:eastAsia="Arial" w:cs="Arial" w:ascii="Arial" w:hAnsi="Arial"/>
          <w:color w:val="auto"/>
          <w:spacing w:val="0"/>
          <w:w w:val="100"/>
          <w:sz w:val="20"/>
          <w:szCs w:val="20"/>
          <w:lang w:val="ro-RO"/>
        </w:rPr>
        <w:t xml:space="preserve"> Diferențierea riscurilor în raport cu gravitatea consecinței este ușor de realizat. Indiferent de factorul de risc și de evenimentul pe care-l poate genera, consecințele asupra executantului pot fi grupate după categoriile definite prin lege: incapacitate temporară de muncă, invaliditate și deces. Mai mult, pentru fiecare factor de risc se poate afirma cu certitudine care este consecința sa maximă posibilă. De exemplu, consecința maximă posibilă a electrocutării va fi întotdeauna decesul, în timp ce consecința maximă a depășirii nivelului normat de zgomot va fi surditatea profesională – invaliditate. Cunoscând tipurile de leziuni și vătămări, ca și localizarea potențială a acestora, în cazul accidentelor și bolilor profesionale, așa cum sunt ele precizate de criteriile medicale de diagnostic clinic, funcțional și de evaluare a capacității de muncă elaborate de Ministerul Sănătății și Ministerul Muncii și Solidarității Sociale (Anexa 2), se poate aprecia pentru fiecare factor de risc în parte la ce leziune va conduce </w:t>
      </w:r>
      <w:r>
        <w:rPr>
          <w:rFonts w:eastAsia="Arial" w:cs="Arial" w:ascii="Arial" w:hAnsi="Arial"/>
          <w:iCs/>
          <w:color w:val="auto"/>
          <w:spacing w:val="0"/>
          <w:w w:val="100"/>
          <w:sz w:val="20"/>
          <w:szCs w:val="20"/>
          <w:lang w:val="ro-RO"/>
        </w:rPr>
        <w:t>în extremis</w:t>
      </w:r>
      <w:r>
        <w:rPr>
          <w:rFonts w:eastAsia="Arial" w:cs="Arial" w:ascii="Arial" w:hAnsi="Arial"/>
          <w:color w:val="auto"/>
          <w:spacing w:val="0"/>
          <w:w w:val="100"/>
          <w:sz w:val="20"/>
          <w:szCs w:val="20"/>
          <w:lang w:val="ro-RO"/>
        </w:rPr>
        <w:t>, ce organ va fi afectat și, în final, ce tip de consecință va produce: incapacitate, invaliditate sau deces. La rândul lor, aceste consecințe se pot diferenția în mai multe clase de gravitate. De exemplu, invaliditatea poate fi de gradul I, II sau III, iar incapacitatea: mai mică de 3 zile calendaristice (limita minimă stabilită prin lege pentru definirea accidentului de muncă), între 3 – 45 zile și între 45 – 180 zile. Ca și în cazul probabilității de producere a accidentelor sau îmbolnăvirilor, putem stabili și pentru gravitatea consecințelor mai multe clase, după cum urmează:</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1:</w:t>
      </w:r>
      <w:r>
        <w:rPr>
          <w:rFonts w:eastAsia="Arial" w:cs="Arial" w:ascii="Arial" w:hAnsi="Arial"/>
          <w:color w:val="auto"/>
          <w:spacing w:val="0"/>
          <w:w w:val="100"/>
          <w:sz w:val="20"/>
          <w:szCs w:val="20"/>
          <w:lang w:val="ro-RO"/>
        </w:rPr>
        <w:t xml:space="preserve"> consecințe neglijabile (incapacitate de muncă mai mică de 3 zile calendaristice);</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2:</w:t>
      </w:r>
      <w:r>
        <w:rPr>
          <w:rFonts w:eastAsia="Arial" w:cs="Arial" w:ascii="Arial" w:hAnsi="Arial"/>
          <w:color w:val="auto"/>
          <w:spacing w:val="0"/>
          <w:w w:val="100"/>
          <w:sz w:val="20"/>
          <w:szCs w:val="20"/>
          <w:lang w:val="ro-RO"/>
        </w:rPr>
        <w:t xml:space="preserve"> consecințe mici (incapacitate cuprinsă între 3 – 45 zile, care necesită tratament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medical);</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3:</w:t>
      </w:r>
      <w:r>
        <w:rPr>
          <w:rFonts w:eastAsia="Arial" w:cs="Arial" w:ascii="Arial" w:hAnsi="Arial"/>
          <w:color w:val="auto"/>
          <w:spacing w:val="0"/>
          <w:w w:val="100"/>
          <w:sz w:val="20"/>
          <w:szCs w:val="20"/>
          <w:lang w:val="ro-RO"/>
        </w:rPr>
        <w:t xml:space="preserve"> consecințe medii (incapacitate 45 – 180 zile, tratament medical și spitalizare);</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4:</w:t>
      </w:r>
      <w:r>
        <w:rPr>
          <w:rFonts w:eastAsia="Arial" w:cs="Arial" w:ascii="Arial" w:hAnsi="Arial"/>
          <w:color w:val="auto"/>
          <w:spacing w:val="0"/>
          <w:w w:val="100"/>
          <w:sz w:val="20"/>
          <w:szCs w:val="20"/>
          <w:lang w:val="ro-RO"/>
        </w:rPr>
        <w:t xml:space="preserve"> consecințe mari (invaliditate gradul III);</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5:</w:t>
      </w:r>
      <w:r>
        <w:rPr>
          <w:rFonts w:eastAsia="Arial" w:cs="Arial" w:ascii="Arial" w:hAnsi="Arial"/>
          <w:color w:val="auto"/>
          <w:spacing w:val="0"/>
          <w:w w:val="100"/>
          <w:sz w:val="20"/>
          <w:szCs w:val="20"/>
          <w:lang w:val="ro-RO"/>
        </w:rPr>
        <w:t xml:space="preserve"> consecințe grave (invaliditate gradul II);</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6:</w:t>
      </w:r>
      <w:r>
        <w:rPr>
          <w:rFonts w:eastAsia="Arial" w:cs="Arial" w:ascii="Arial" w:hAnsi="Arial"/>
          <w:color w:val="auto"/>
          <w:spacing w:val="0"/>
          <w:w w:val="100"/>
          <w:sz w:val="20"/>
          <w:szCs w:val="20"/>
          <w:lang w:val="ro-RO"/>
        </w:rPr>
        <w:t xml:space="preserve"> consecințe foarte grave (invaliditate gradul I);</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7:</w:t>
      </w:r>
      <w:r>
        <w:rPr>
          <w:rFonts w:eastAsia="Arial" w:cs="Arial" w:ascii="Arial" w:hAnsi="Arial"/>
          <w:color w:val="auto"/>
          <w:spacing w:val="0"/>
          <w:w w:val="100"/>
          <w:sz w:val="20"/>
          <w:szCs w:val="20"/>
          <w:lang w:val="ro-RO"/>
        </w:rPr>
        <w:t xml:space="preserve"> consecințe maxime (deces).</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w:t>
      </w:r>
      <w:r>
        <w:rPr>
          <w:rFonts w:eastAsia="Arial" w:cs="Arial" w:ascii="Arial" w:hAnsi="Arial"/>
          <w:color w:val="auto"/>
          <w:spacing w:val="0"/>
          <w:w w:val="100"/>
          <w:sz w:val="20"/>
          <w:szCs w:val="20"/>
          <w:lang w:val="ro-RO"/>
        </w:rPr>
        <w:t xml:space="preserve"> Referitor la frecvență, este cunoscut că accidentul sau boala sunt evenimente aleatorii. Prin urmare, factorii de risc se vor diferenția între ei prin faptul că fiecare conduce cu o altă probabilitate la producerea unui accident sau a unei îmbolnăviri. De asemenea, același factor va putea fi caracterizat printr-o altă frecvență de acțiune asupra executantului, în diverse momente ale funcționării unui sistem de muncă sau în sisteme analoage, în funcție de natură și de starea elementului generator. Astfel, probabilitatea de accidentare cu un mijloc auto este mai mare dacă acesta este vechi și are uzate principalele sisteme, decât dacă este nou.</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Din punct de vedere al operativității, nu se poate lucra însă cu probabilități determinate strict pentru fiecare factor de risc. În unele cazuri, ele nici nu pot fi calculate, cum se întâmplă cu factorii proprii executantului.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Probabilitatea de a acționa într-o anumită manieră generatoare de accident nu poate fi decât aproximată. În alte situații, calculul necesitat de determinarea riguroasă a probabilității de producere a consecinței este atât de laborios, încât ar fi mai costisitor și mai îndelungat decât aplicarea efectivă a măsurilor de prevenire. De aceea ar fi mai indicat să se stabilească probabilitățile, de regulă, prin apreciere și să se grupeze pe intervale. Este mai ușor și mai eficient pentru scopul urmărit să se aproximeze că un anumit accident este probabil să fie generat de acțiunea unui factor de risc cu o frecvență mai mică de o dată la 100 de ore. Diferența față de niște valori riguroase de 1 la 85 ore sau 1 la 79 ore este nesemnificativă, evenimentul putând fi caracterizat în toate trei cazurile ca fiind foarte frecvent.</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Din acest motiv, dacă utilizăm intervalele precizate în CEI 812/1985, obținem 6 grupe de evenimente, pe care le putem ordona astfel:</w:t>
      </w:r>
    </w:p>
    <w:p>
      <w:pPr>
        <w:pStyle w:val="Normal"/>
        <w:widowControl/>
        <w:numPr>
          <w:ilvl w:val="0"/>
          <w:numId w:val="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extrem de rare: P &lt; 10</w:t>
      </w:r>
      <w:r>
        <w:rPr>
          <w:rFonts w:eastAsia="Arial" w:cs="Arial" w:ascii="Arial" w:hAnsi="Arial"/>
          <w:color w:val="auto"/>
          <w:spacing w:val="0"/>
          <w:w w:val="100"/>
          <w:sz w:val="20"/>
          <w:szCs w:val="20"/>
          <w:vertAlign w:val="superscript"/>
          <w:lang w:val="ro-RO"/>
        </w:rPr>
        <w:t>-7</w:t>
      </w:r>
      <w:r>
        <w:rPr>
          <w:rFonts w:eastAsia="Arial" w:cs="Arial" w:ascii="Arial" w:hAnsi="Arial"/>
          <w:color w:val="auto"/>
          <w:spacing w:val="0"/>
          <w:w w:val="100"/>
          <w:sz w:val="20"/>
          <w:szCs w:val="20"/>
          <w:lang w:val="ro-RO"/>
        </w:rPr>
        <w:t>/h;</w:t>
      </w:r>
    </w:p>
    <w:p>
      <w:pPr>
        <w:pStyle w:val="Normal"/>
        <w:widowControl/>
        <w:numPr>
          <w:ilvl w:val="0"/>
          <w:numId w:val="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foarte rare: 10</w:t>
      </w:r>
      <w:r>
        <w:rPr>
          <w:rFonts w:eastAsia="Arial" w:cs="Arial" w:ascii="Arial" w:hAnsi="Arial"/>
          <w:color w:val="auto"/>
          <w:spacing w:val="0"/>
          <w:w w:val="100"/>
          <w:sz w:val="20"/>
          <w:szCs w:val="20"/>
          <w:vertAlign w:val="superscript"/>
          <w:lang w:val="ro-RO"/>
        </w:rPr>
        <w:t>-7</w:t>
      </w:r>
      <w:r>
        <w:rPr>
          <w:rFonts w:eastAsia="Arial" w:cs="Arial" w:ascii="Arial" w:hAnsi="Arial"/>
          <w:color w:val="auto"/>
          <w:spacing w:val="0"/>
          <w:w w:val="100"/>
          <w:sz w:val="20"/>
          <w:szCs w:val="20"/>
          <w:lang w:val="ro-RO"/>
        </w:rPr>
        <w:t xml:space="preserve"> &lt; P &lt; 10</w:t>
      </w:r>
      <w:r>
        <w:rPr>
          <w:rFonts w:eastAsia="Arial" w:cs="Arial" w:ascii="Arial" w:hAnsi="Arial"/>
          <w:color w:val="auto"/>
          <w:spacing w:val="0"/>
          <w:w w:val="100"/>
          <w:sz w:val="20"/>
          <w:szCs w:val="20"/>
          <w:vertAlign w:val="superscript"/>
          <w:lang w:val="ro-RO"/>
        </w:rPr>
        <w:t>-5</w:t>
      </w:r>
      <w:r>
        <w:rPr>
          <w:rFonts w:eastAsia="Arial" w:cs="Arial" w:ascii="Arial" w:hAnsi="Arial"/>
          <w:color w:val="auto"/>
          <w:spacing w:val="0"/>
          <w:w w:val="100"/>
          <w:sz w:val="20"/>
          <w:szCs w:val="20"/>
          <w:lang w:val="ro-RO"/>
        </w:rPr>
        <w:t>/h;</w:t>
      </w:r>
    </w:p>
    <w:p>
      <w:pPr>
        <w:pStyle w:val="Normal"/>
        <w:widowControl/>
        <w:numPr>
          <w:ilvl w:val="0"/>
          <w:numId w:val="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rare: 10</w:t>
      </w:r>
      <w:r>
        <w:rPr>
          <w:rFonts w:eastAsia="Arial" w:cs="Arial" w:ascii="Arial" w:hAnsi="Arial"/>
          <w:color w:val="auto"/>
          <w:spacing w:val="0"/>
          <w:w w:val="100"/>
          <w:sz w:val="20"/>
          <w:szCs w:val="20"/>
          <w:vertAlign w:val="superscript"/>
          <w:lang w:val="ro-RO"/>
        </w:rPr>
        <w:t>-5</w:t>
      </w:r>
      <w:r>
        <w:rPr>
          <w:rFonts w:eastAsia="Arial" w:cs="Arial" w:ascii="Arial" w:hAnsi="Arial"/>
          <w:color w:val="auto"/>
          <w:spacing w:val="0"/>
          <w:w w:val="100"/>
          <w:sz w:val="20"/>
          <w:szCs w:val="20"/>
          <w:lang w:val="ro-RO"/>
        </w:rPr>
        <w:t xml:space="preserve"> &lt; P &lt; 10</w:t>
      </w:r>
      <w:r>
        <w:rPr>
          <w:rFonts w:eastAsia="Arial" w:cs="Arial" w:ascii="Arial" w:hAnsi="Arial"/>
          <w:color w:val="auto"/>
          <w:spacing w:val="0"/>
          <w:w w:val="100"/>
          <w:sz w:val="20"/>
          <w:szCs w:val="20"/>
          <w:vertAlign w:val="superscript"/>
          <w:lang w:val="ro-RO"/>
        </w:rPr>
        <w:t>-4</w:t>
      </w:r>
      <w:r>
        <w:rPr>
          <w:rFonts w:eastAsia="Arial" w:cs="Arial" w:ascii="Arial" w:hAnsi="Arial"/>
          <w:color w:val="auto"/>
          <w:spacing w:val="0"/>
          <w:w w:val="100"/>
          <w:sz w:val="20"/>
          <w:szCs w:val="20"/>
          <w:lang w:val="ro-RO"/>
        </w:rPr>
        <w:t>/h;</w:t>
      </w:r>
    </w:p>
    <w:p>
      <w:pPr>
        <w:pStyle w:val="Normal"/>
        <w:widowControl/>
        <w:numPr>
          <w:ilvl w:val="0"/>
          <w:numId w:val="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puțin frecvente: 10</w:t>
      </w:r>
      <w:r>
        <w:rPr>
          <w:rFonts w:eastAsia="Arial" w:cs="Arial" w:ascii="Arial" w:hAnsi="Arial"/>
          <w:color w:val="auto"/>
          <w:spacing w:val="0"/>
          <w:w w:val="100"/>
          <w:sz w:val="20"/>
          <w:szCs w:val="20"/>
          <w:vertAlign w:val="superscript"/>
          <w:lang w:val="ro-RO"/>
        </w:rPr>
        <w:t>-4</w:t>
      </w:r>
      <w:r>
        <w:rPr>
          <w:rFonts w:eastAsia="Arial" w:cs="Arial" w:ascii="Arial" w:hAnsi="Arial"/>
          <w:color w:val="auto"/>
          <w:spacing w:val="0"/>
          <w:w w:val="100"/>
          <w:sz w:val="20"/>
          <w:szCs w:val="20"/>
          <w:lang w:val="ro-RO"/>
        </w:rPr>
        <w:t xml:space="preserve"> &lt; P &lt; 10</w:t>
      </w:r>
      <w:r>
        <w:rPr>
          <w:rFonts w:eastAsia="Arial" w:cs="Arial" w:ascii="Arial" w:hAnsi="Arial"/>
          <w:color w:val="auto"/>
          <w:spacing w:val="0"/>
          <w:w w:val="100"/>
          <w:sz w:val="20"/>
          <w:szCs w:val="20"/>
          <w:vertAlign w:val="superscript"/>
          <w:lang w:val="ro-RO"/>
        </w:rPr>
        <w:t>-3</w:t>
      </w:r>
      <w:r>
        <w:rPr>
          <w:rFonts w:eastAsia="Arial" w:cs="Arial" w:ascii="Arial" w:hAnsi="Arial"/>
          <w:color w:val="auto"/>
          <w:spacing w:val="0"/>
          <w:w w:val="100"/>
          <w:sz w:val="20"/>
          <w:szCs w:val="20"/>
          <w:lang w:val="ro-RO"/>
        </w:rPr>
        <w:t>/h;</w:t>
      </w:r>
    </w:p>
    <w:p>
      <w:pPr>
        <w:pStyle w:val="Normal"/>
        <w:widowControl/>
        <w:numPr>
          <w:ilvl w:val="0"/>
          <w:numId w:val="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frecvente: 10</w:t>
      </w:r>
      <w:r>
        <w:rPr>
          <w:rFonts w:eastAsia="Arial" w:cs="Arial" w:ascii="Arial" w:hAnsi="Arial"/>
          <w:color w:val="auto"/>
          <w:spacing w:val="0"/>
          <w:w w:val="100"/>
          <w:sz w:val="20"/>
          <w:szCs w:val="20"/>
          <w:vertAlign w:val="superscript"/>
          <w:lang w:val="ro-RO"/>
        </w:rPr>
        <w:t>-3</w:t>
      </w:r>
      <w:r>
        <w:rPr>
          <w:rFonts w:eastAsia="Arial" w:cs="Arial" w:ascii="Arial" w:hAnsi="Arial"/>
          <w:color w:val="auto"/>
          <w:spacing w:val="0"/>
          <w:w w:val="100"/>
          <w:sz w:val="20"/>
          <w:szCs w:val="20"/>
          <w:lang w:val="ro-RO"/>
        </w:rPr>
        <w:t xml:space="preserve"> &lt; P &lt; 10</w:t>
      </w:r>
      <w:r>
        <w:rPr>
          <w:rFonts w:eastAsia="Arial" w:cs="Arial" w:ascii="Arial" w:hAnsi="Arial"/>
          <w:color w:val="auto"/>
          <w:spacing w:val="0"/>
          <w:w w:val="100"/>
          <w:sz w:val="20"/>
          <w:szCs w:val="20"/>
          <w:vertAlign w:val="superscript"/>
          <w:lang w:val="ro-RO"/>
        </w:rPr>
        <w:t>-2</w:t>
      </w:r>
      <w:r>
        <w:rPr>
          <w:rFonts w:eastAsia="Arial" w:cs="Arial" w:ascii="Arial" w:hAnsi="Arial"/>
          <w:color w:val="auto"/>
          <w:spacing w:val="0"/>
          <w:w w:val="100"/>
          <w:sz w:val="20"/>
          <w:szCs w:val="20"/>
          <w:lang w:val="ro-RO"/>
        </w:rPr>
        <w:t>/h;</w:t>
      </w:r>
    </w:p>
    <w:p>
      <w:pPr>
        <w:pStyle w:val="Normal"/>
        <w:widowControl/>
        <w:numPr>
          <w:ilvl w:val="0"/>
          <w:numId w:val="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foarte frecvente: P &gt; 10</w:t>
      </w:r>
      <w:r>
        <w:rPr>
          <w:rFonts w:eastAsia="Arial" w:cs="Arial" w:ascii="Arial" w:hAnsi="Arial"/>
          <w:color w:val="auto"/>
          <w:spacing w:val="0"/>
          <w:w w:val="100"/>
          <w:sz w:val="20"/>
          <w:szCs w:val="20"/>
          <w:vertAlign w:val="superscript"/>
          <w:lang w:val="ro-RO"/>
        </w:rPr>
        <w:t>-2</w:t>
      </w:r>
      <w:r>
        <w:rPr>
          <w:rFonts w:eastAsia="Arial" w:cs="Arial" w:ascii="Arial" w:hAnsi="Arial"/>
          <w:color w:val="auto"/>
          <w:spacing w:val="0"/>
          <w:w w:val="100"/>
          <w:sz w:val="20"/>
          <w:szCs w:val="20"/>
          <w:lang w:val="ro-RO"/>
        </w:rPr>
        <w:t>/h.</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Vom atribui acum fiecărei grupe o clasă de probabilitate, de la 1 la 6, așa încât vom spune că evenimentul E</w:t>
      </w:r>
      <w:r>
        <w:rPr>
          <w:rFonts w:eastAsia="Arial" w:cs="Arial" w:ascii="Arial" w:hAnsi="Arial"/>
          <w:color w:val="auto"/>
          <w:spacing w:val="0"/>
          <w:w w:val="100"/>
          <w:sz w:val="20"/>
          <w:szCs w:val="20"/>
          <w:vertAlign w:val="subscript"/>
          <w:lang w:val="ro-RO"/>
        </w:rPr>
        <w:t>1</w:t>
      </w:r>
      <w:r>
        <w:rPr>
          <w:rFonts w:eastAsia="Arial" w:cs="Arial" w:ascii="Arial" w:hAnsi="Arial"/>
          <w:color w:val="auto"/>
          <w:spacing w:val="0"/>
          <w:w w:val="100"/>
          <w:sz w:val="20"/>
          <w:szCs w:val="20"/>
          <w:lang w:val="ro-RO"/>
        </w:rPr>
        <w:t>, a cărui frecvență probabilă de producere este de P</w:t>
      </w:r>
      <w:r>
        <w:rPr>
          <w:rFonts w:eastAsia="Arial" w:cs="Arial" w:ascii="Arial" w:hAnsi="Arial"/>
          <w:color w:val="auto"/>
          <w:spacing w:val="0"/>
          <w:w w:val="100"/>
          <w:sz w:val="20"/>
          <w:szCs w:val="20"/>
          <w:vertAlign w:val="subscript"/>
          <w:lang w:val="ro-RO"/>
        </w:rPr>
        <w:t>1</w:t>
      </w:r>
      <w:r>
        <w:rPr>
          <w:rFonts w:eastAsia="Arial" w:cs="Arial" w:ascii="Arial" w:hAnsi="Arial"/>
          <w:color w:val="auto"/>
          <w:spacing w:val="0"/>
          <w:w w:val="100"/>
          <w:sz w:val="20"/>
          <w:szCs w:val="20"/>
          <w:lang w:val="ro-RO"/>
        </w:rPr>
        <w:t xml:space="preserve"> &lt; 10</w:t>
      </w:r>
      <w:r>
        <w:rPr>
          <w:rFonts w:eastAsia="Arial" w:cs="Arial" w:ascii="Arial" w:hAnsi="Arial"/>
          <w:color w:val="auto"/>
          <w:spacing w:val="0"/>
          <w:w w:val="100"/>
          <w:sz w:val="20"/>
          <w:szCs w:val="20"/>
          <w:vertAlign w:val="superscript"/>
          <w:lang w:val="ro-RO"/>
        </w:rPr>
        <w:t>-7</w:t>
      </w:r>
      <w:r>
        <w:rPr>
          <w:rFonts w:eastAsia="Arial" w:cs="Arial" w:ascii="Arial" w:hAnsi="Arial"/>
          <w:color w:val="auto"/>
          <w:spacing w:val="0"/>
          <w:w w:val="100"/>
          <w:sz w:val="20"/>
          <w:szCs w:val="20"/>
          <w:lang w:val="ro-RO"/>
        </w:rPr>
        <w:t>/ h, este de clasa 1 de probabilitate, iar evenimentul E</w:t>
      </w:r>
      <w:r>
        <w:rPr>
          <w:rFonts w:eastAsia="Arial" w:cs="Arial" w:ascii="Arial" w:hAnsi="Arial"/>
          <w:color w:val="auto"/>
          <w:spacing w:val="0"/>
          <w:w w:val="100"/>
          <w:sz w:val="20"/>
          <w:szCs w:val="20"/>
          <w:vertAlign w:val="subscript"/>
          <w:lang w:val="ro-RO"/>
        </w:rPr>
        <w:t>6</w:t>
      </w:r>
      <w:r>
        <w:rPr>
          <w:rFonts w:eastAsia="Arial" w:cs="Arial" w:ascii="Arial" w:hAnsi="Arial"/>
          <w:color w:val="auto"/>
          <w:spacing w:val="0"/>
          <w:w w:val="100"/>
          <w:sz w:val="20"/>
          <w:szCs w:val="20"/>
          <w:lang w:val="ro-RO"/>
        </w:rPr>
        <w:t>, cu frecvența P</w:t>
      </w:r>
      <w:r>
        <w:rPr>
          <w:rFonts w:eastAsia="Arial" w:cs="Arial" w:ascii="Arial" w:hAnsi="Arial"/>
          <w:color w:val="auto"/>
          <w:spacing w:val="0"/>
          <w:w w:val="100"/>
          <w:sz w:val="20"/>
          <w:szCs w:val="20"/>
          <w:vertAlign w:val="subscript"/>
          <w:lang w:val="ro-RO"/>
        </w:rPr>
        <w:t>6</w:t>
      </w:r>
      <w:r>
        <w:rPr>
          <w:rFonts w:eastAsia="Arial" w:cs="Arial" w:ascii="Arial" w:hAnsi="Arial"/>
          <w:color w:val="auto"/>
          <w:spacing w:val="0"/>
          <w:w w:val="100"/>
          <w:sz w:val="20"/>
          <w:szCs w:val="20"/>
          <w:lang w:val="ro-RO"/>
        </w:rPr>
        <w:t xml:space="preserve"> &gt;10</w:t>
      </w:r>
      <w:r>
        <w:rPr>
          <w:rFonts w:eastAsia="Arial" w:cs="Arial" w:ascii="Arial" w:hAnsi="Arial"/>
          <w:color w:val="auto"/>
          <w:spacing w:val="0"/>
          <w:w w:val="100"/>
          <w:sz w:val="20"/>
          <w:szCs w:val="20"/>
          <w:vertAlign w:val="superscript"/>
          <w:lang w:val="ro-RO"/>
        </w:rPr>
        <w:t>-2</w:t>
      </w:r>
      <w:r>
        <w:rPr>
          <w:rFonts w:eastAsia="Arial" w:cs="Arial" w:ascii="Arial" w:hAnsi="Arial"/>
          <w:color w:val="auto"/>
          <w:spacing w:val="0"/>
          <w:w w:val="100"/>
          <w:sz w:val="20"/>
          <w:szCs w:val="20"/>
          <w:lang w:val="ro-RO"/>
        </w:rPr>
        <w:t>/h, este de clasa a 6-a de probabilitate. Obținem o scală de cotare a probabilității cum este cea din Anexa 3.</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D.</w:t>
      </w:r>
      <w:r>
        <w:rPr>
          <w:rFonts w:eastAsia="Arial" w:cs="Arial" w:ascii="Arial" w:hAnsi="Arial"/>
          <w:color w:val="auto"/>
          <w:spacing w:val="0"/>
          <w:w w:val="100"/>
          <w:sz w:val="20"/>
          <w:szCs w:val="20"/>
          <w:lang w:val="ro-RO"/>
        </w:rPr>
        <w:t xml:space="preserve"> Având la dispoziție aceste două scale – de cotare a probabilității și a gravității consecințelor acțiunii factorilor de risc (Anexa 3) – putem să asociem fiecărui factor de risc dintr-un sistem un cuplu de elemente caracteristice, gravitate – probabilitate, pentru fiecare cuplu stabilindu-se un nivel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atribuirea nivelurilor de risc, respectiv de securitate s-a utilizat curba de acceptabilitate a riscului.</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Mai întâi, deoarece gravitatea este un element mai important din punct de vedere al finalității protecției muncii, s-a admis ipoteza că are o incidență mult mai mare asupra nivelului de risc decât frecvența. În consecință, corespunzător celor 7 clase de gravitate s-au stabilit 7 niveluri de risc, în ordine crescătoare, respectiv 7 niveluri de securitate, dată fiind relația invers proporțională între cele două stări (risc – securitate):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N</w:t>
      </w:r>
      <w:r>
        <w:rPr>
          <w:rFonts w:eastAsia="Arial" w:cs="Arial" w:ascii="Arial" w:hAnsi="Arial"/>
          <w:b w:val="false"/>
          <w:color w:val="auto"/>
          <w:sz w:val="20"/>
          <w:szCs w:val="20"/>
          <w:vertAlign w:val="subscript"/>
          <w:lang w:val="ro-RO"/>
        </w:rPr>
        <w:t xml:space="preserve">1</w:t>
      </w:r>
      <w:r>
        <w:rPr>
          <w:rFonts w:eastAsia="Arial" w:cs="Arial" w:ascii="Arial" w:hAnsi="Arial"/>
          <w:b w:val="false"/>
          <w:color w:val="auto"/>
          <w:sz w:val="20"/>
          <w:szCs w:val="20"/>
          <w:lang w:val="ro-RO"/>
        </w:rPr>
        <w:t xml:space="preserve"> – nivel minim de risc → S</w:t>
      </w:r>
      <w:r>
        <w:rPr>
          <w:rFonts w:eastAsia="Arial" w:cs="Arial" w:ascii="Arial" w:hAnsi="Arial"/>
          <w:b w:val="false"/>
          <w:color w:val="auto"/>
          <w:sz w:val="20"/>
          <w:szCs w:val="20"/>
          <w:vertAlign w:val="subscript"/>
          <w:lang w:val="ro-RO"/>
        </w:rPr>
        <w:t xml:space="preserve">7</w:t>
      </w:r>
      <w:r>
        <w:rPr>
          <w:rFonts w:eastAsia="Arial" w:cs="Arial" w:ascii="Arial" w:hAnsi="Arial"/>
          <w:b w:val="false"/>
          <w:color w:val="auto"/>
          <w:sz w:val="20"/>
          <w:szCs w:val="20"/>
          <w:lang w:val="ro-RO"/>
        </w:rPr>
        <w:t xml:space="preserve"> – nivel maxim de securitate;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N</w:t>
      </w:r>
      <w:r>
        <w:rPr>
          <w:rFonts w:eastAsia="Arial" w:cs="Arial" w:ascii="Arial" w:hAnsi="Arial"/>
          <w:b w:val="false"/>
          <w:color w:val="auto"/>
          <w:sz w:val="20"/>
          <w:szCs w:val="20"/>
          <w:vertAlign w:val="subscript"/>
          <w:lang w:val="ro-RO"/>
        </w:rPr>
        <w:t xml:space="preserve">2</w:t>
      </w:r>
      <w:r>
        <w:rPr>
          <w:rFonts w:eastAsia="Arial" w:cs="Arial" w:ascii="Arial" w:hAnsi="Arial"/>
          <w:b w:val="false"/>
          <w:color w:val="auto"/>
          <w:sz w:val="20"/>
          <w:szCs w:val="20"/>
          <w:lang w:val="ro-RO"/>
        </w:rPr>
        <w:t xml:space="preserve"> – nivel foarte mic de risc → S</w:t>
      </w:r>
      <w:r>
        <w:rPr>
          <w:rFonts w:eastAsia="Arial" w:cs="Arial" w:ascii="Arial" w:hAnsi="Arial"/>
          <w:b w:val="false"/>
          <w:color w:val="auto"/>
          <w:sz w:val="20"/>
          <w:szCs w:val="20"/>
          <w:vertAlign w:val="subscript"/>
          <w:lang w:val="ro-RO"/>
        </w:rPr>
        <w:t xml:space="preserve">6</w:t>
      </w:r>
      <w:r>
        <w:rPr>
          <w:rFonts w:eastAsia="Arial" w:cs="Arial" w:ascii="Arial" w:hAnsi="Arial"/>
          <w:b w:val="false"/>
          <w:color w:val="auto"/>
          <w:sz w:val="20"/>
          <w:szCs w:val="20"/>
          <w:lang w:val="ro-RO"/>
        </w:rPr>
        <w:t xml:space="preserve"> – nivel foarte mare de securitate;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N</w:t>
      </w:r>
      <w:r>
        <w:rPr>
          <w:rFonts w:eastAsia="Arial" w:cs="Arial" w:ascii="Arial" w:hAnsi="Arial"/>
          <w:b w:val="false"/>
          <w:color w:val="auto"/>
          <w:sz w:val="20"/>
          <w:szCs w:val="20"/>
          <w:vertAlign w:val="subscript"/>
          <w:lang w:val="ro-RO"/>
        </w:rPr>
        <w:t xml:space="preserve">3</w:t>
      </w:r>
      <w:r>
        <w:rPr>
          <w:rFonts w:eastAsia="Arial" w:cs="Arial" w:ascii="Arial" w:hAnsi="Arial"/>
          <w:b w:val="false"/>
          <w:color w:val="auto"/>
          <w:sz w:val="20"/>
          <w:szCs w:val="20"/>
          <w:lang w:val="ro-RO"/>
        </w:rPr>
        <w:t xml:space="preserve"> – nivel mic de risc → S</w:t>
      </w:r>
      <w:r>
        <w:rPr>
          <w:rFonts w:eastAsia="Arial" w:cs="Arial" w:ascii="Arial" w:hAnsi="Arial"/>
          <w:b w:val="false"/>
          <w:color w:val="auto"/>
          <w:sz w:val="20"/>
          <w:szCs w:val="20"/>
          <w:vertAlign w:val="subscript"/>
          <w:lang w:val="ro-RO"/>
        </w:rPr>
        <w:t xml:space="preserve">5</w:t>
      </w:r>
      <w:r>
        <w:rPr>
          <w:rFonts w:eastAsia="Arial" w:cs="Arial" w:ascii="Arial" w:hAnsi="Arial"/>
          <w:b w:val="false"/>
          <w:color w:val="auto"/>
          <w:sz w:val="20"/>
          <w:szCs w:val="20"/>
          <w:lang w:val="ro-RO"/>
        </w:rPr>
        <w:t xml:space="preserve"> – nivel mare de securitate;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N</w:t>
      </w:r>
      <w:r>
        <w:rPr>
          <w:rFonts w:eastAsia="Arial" w:cs="Arial" w:ascii="Arial" w:hAnsi="Arial"/>
          <w:b w:val="false"/>
          <w:color w:val="auto"/>
          <w:sz w:val="20"/>
          <w:szCs w:val="20"/>
          <w:vertAlign w:val="subscript"/>
          <w:lang w:val="ro-RO"/>
        </w:rPr>
        <w:t xml:space="preserve">4</w:t>
      </w:r>
      <w:r>
        <w:rPr>
          <w:rFonts w:eastAsia="Arial" w:cs="Arial" w:ascii="Arial" w:hAnsi="Arial"/>
          <w:b w:val="false"/>
          <w:color w:val="auto"/>
          <w:sz w:val="20"/>
          <w:szCs w:val="20"/>
          <w:lang w:val="ro-RO"/>
        </w:rPr>
        <w:t xml:space="preserve"> – nivel mediu de risc → S</w:t>
      </w:r>
      <w:r>
        <w:rPr>
          <w:rFonts w:eastAsia="Arial" w:cs="Arial" w:ascii="Arial" w:hAnsi="Arial"/>
          <w:b w:val="false"/>
          <w:color w:val="auto"/>
          <w:sz w:val="20"/>
          <w:szCs w:val="20"/>
          <w:vertAlign w:val="subscript"/>
          <w:lang w:val="ro-RO"/>
        </w:rPr>
        <w:t xml:space="preserve">4</w:t>
      </w:r>
      <w:r>
        <w:rPr>
          <w:rFonts w:eastAsia="Arial" w:cs="Arial" w:ascii="Arial" w:hAnsi="Arial"/>
          <w:b w:val="false"/>
          <w:color w:val="auto"/>
          <w:sz w:val="20"/>
          <w:szCs w:val="20"/>
          <w:lang w:val="ro-RO"/>
        </w:rPr>
        <w:t xml:space="preserve"> – nivel mediu de securitate;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N</w:t>
      </w:r>
      <w:r>
        <w:rPr>
          <w:rFonts w:eastAsia="Arial" w:cs="Arial" w:ascii="Arial" w:hAnsi="Arial"/>
          <w:b w:val="false"/>
          <w:color w:val="auto"/>
          <w:sz w:val="20"/>
          <w:szCs w:val="20"/>
          <w:vertAlign w:val="subscript"/>
          <w:lang w:val="ro-RO"/>
        </w:rPr>
        <w:t xml:space="preserve">5</w:t>
      </w:r>
      <w:r>
        <w:rPr>
          <w:rFonts w:eastAsia="Arial" w:cs="Arial" w:ascii="Arial" w:hAnsi="Arial"/>
          <w:b w:val="false"/>
          <w:color w:val="auto"/>
          <w:sz w:val="20"/>
          <w:szCs w:val="20"/>
          <w:lang w:val="ro-RO"/>
        </w:rPr>
        <w:t xml:space="preserve"> – nivel mare de risc → S</w:t>
      </w:r>
      <w:r>
        <w:rPr>
          <w:rFonts w:eastAsia="Arial" w:cs="Arial" w:ascii="Arial" w:hAnsi="Arial"/>
          <w:b w:val="false"/>
          <w:color w:val="auto"/>
          <w:sz w:val="20"/>
          <w:szCs w:val="20"/>
          <w:vertAlign w:val="subscript"/>
          <w:lang w:val="ro-RO"/>
        </w:rPr>
        <w:t xml:space="preserve">3</w:t>
      </w:r>
      <w:r>
        <w:rPr>
          <w:rFonts w:eastAsia="Arial" w:cs="Arial" w:ascii="Arial" w:hAnsi="Arial"/>
          <w:b w:val="false"/>
          <w:color w:val="auto"/>
          <w:sz w:val="20"/>
          <w:szCs w:val="20"/>
          <w:lang w:val="ro-RO"/>
        </w:rPr>
        <w:t xml:space="preserve"> – nivel mic de securitate;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N</w:t>
      </w:r>
      <w:r>
        <w:rPr>
          <w:rFonts w:eastAsia="Arial" w:cs="Arial" w:ascii="Arial" w:hAnsi="Arial"/>
          <w:b w:val="false"/>
          <w:color w:val="auto"/>
          <w:sz w:val="20"/>
          <w:szCs w:val="20"/>
          <w:vertAlign w:val="subscript"/>
          <w:lang w:val="ro-RO"/>
        </w:rPr>
        <w:t xml:space="preserve">6</w:t>
      </w:r>
      <w:r>
        <w:rPr>
          <w:rFonts w:eastAsia="Arial" w:cs="Arial" w:ascii="Arial" w:hAnsi="Arial"/>
          <w:b w:val="false"/>
          <w:color w:val="auto"/>
          <w:sz w:val="20"/>
          <w:szCs w:val="20"/>
          <w:lang w:val="ro-RO"/>
        </w:rPr>
        <w:t xml:space="preserve"> – nivel foarte mare de risc → S</w:t>
      </w:r>
      <w:r>
        <w:rPr>
          <w:rFonts w:eastAsia="Arial" w:cs="Arial" w:ascii="Arial" w:hAnsi="Arial"/>
          <w:b w:val="false"/>
          <w:color w:val="auto"/>
          <w:sz w:val="20"/>
          <w:szCs w:val="20"/>
          <w:vertAlign w:val="subscript"/>
          <w:lang w:val="ro-RO"/>
        </w:rPr>
        <w:t xml:space="preserve">2</w:t>
      </w:r>
      <w:r>
        <w:rPr>
          <w:rFonts w:eastAsia="Arial" w:cs="Arial" w:ascii="Arial" w:hAnsi="Arial"/>
          <w:b w:val="false"/>
          <w:color w:val="auto"/>
          <w:sz w:val="20"/>
          <w:szCs w:val="20"/>
          <w:lang w:val="ro-RO"/>
        </w:rPr>
        <w:t xml:space="preserve"> – nivel foarte mic de securitate;</w:t>
      </w:r>
    </w:p>
    <w:p>
      <w:pPr>
        <w:pStyle w:val="Normal"/>
        <w:keepNext w:val="false"/>
        <w:pageBreakBefore w:val="false"/>
        <w:widowControl/>
        <w:numPr>
          <w:ilvl w:val="0"/>
          <w:numId w:val="0"/>
        </w:numPr>
        <w:spacing w:before="0" w:after="120"/>
        <w:ind w:hanging="0" w:left="720"/>
        <w:jc w:val="left"/>
        <w:rPr>
          <w:rFonts w:ascii="Arial" w:hAnsi="Arial" w:cs="Arial"/>
          <w:sz w:val="20"/>
          <w:szCs w:val="20"/>
        </w:rPr>
      </w:pPr>
      <w:r>
        <w:rPr>
          <w:rFonts w:eastAsia="Arial" w:cs="Arial" w:ascii="Arial" w:hAnsi="Arial"/>
          <w:b w:val="false"/>
          <w:color w:val="auto"/>
          <w:sz w:val="20"/>
          <w:szCs w:val="20"/>
          <w:lang w:val="ro-RO"/>
        </w:rPr>
        <w:t xml:space="preserve">N</w:t>
      </w:r>
      <w:r>
        <w:rPr>
          <w:rFonts w:eastAsia="Arial" w:cs="Arial" w:ascii="Arial" w:hAnsi="Arial"/>
          <w:b w:val="false"/>
          <w:color w:val="auto"/>
          <w:sz w:val="20"/>
          <w:szCs w:val="20"/>
          <w:vertAlign w:val="subscript"/>
          <w:lang w:val="ro-RO"/>
        </w:rPr>
        <w:t xml:space="preserve">7</w:t>
      </w:r>
      <w:r>
        <w:rPr>
          <w:rFonts w:eastAsia="Arial" w:cs="Arial" w:ascii="Arial" w:hAnsi="Arial"/>
          <w:b w:val="false"/>
          <w:color w:val="auto"/>
          <w:sz w:val="20"/>
          <w:szCs w:val="20"/>
          <w:lang w:val="ro-RO"/>
        </w:rPr>
        <w:t xml:space="preserve"> – nivel maxim de risc → S</w:t>
      </w:r>
      <w:r>
        <w:rPr>
          <w:rFonts w:eastAsia="Arial" w:cs="Arial" w:ascii="Arial" w:hAnsi="Arial"/>
          <w:b w:val="false"/>
          <w:color w:val="auto"/>
          <w:sz w:val="20"/>
          <w:szCs w:val="20"/>
          <w:vertAlign w:val="subscript"/>
          <w:lang w:val="ro-RO"/>
        </w:rPr>
        <w:t xml:space="preserve">1</w:t>
      </w:r>
      <w:r>
        <w:rPr>
          <w:rFonts w:eastAsia="Arial" w:cs="Arial" w:ascii="Arial" w:hAnsi="Arial"/>
          <w:b w:val="false"/>
          <w:color w:val="auto"/>
          <w:sz w:val="20"/>
          <w:szCs w:val="20"/>
          <w:lang w:val="ro-RO"/>
        </w:rPr>
        <w:t xml:space="preserve"> – nivel minim de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Dacă luăm în considerare toate combinațiile posibile ale variabilelor specificate, câte două, obținem o matrice </w:t>
      </w:r>
      <w:r>
        <w:rPr>
          <w:rFonts w:eastAsia="Arial" w:cs="Arial" w:ascii="Arial" w:hAnsi="Arial"/>
          <w:iCs/>
          <w:color w:val="auto"/>
          <w:spacing w:val="0"/>
          <w:w w:val="100"/>
          <w:sz w:val="20"/>
          <w:szCs w:val="20"/>
          <w:lang w:val="ro-RO"/>
        </w:rPr>
        <w:t>M</w:t>
      </w:r>
      <w:r>
        <w:rPr>
          <w:rFonts w:eastAsia="Arial" w:cs="Arial" w:ascii="Arial" w:hAnsi="Arial"/>
          <w:iCs/>
          <w:color w:val="auto"/>
          <w:spacing w:val="0"/>
          <w:w w:val="100"/>
          <w:sz w:val="20"/>
          <w:szCs w:val="20"/>
          <w:vertAlign w:val="subscript"/>
          <w:lang w:val="ro-RO"/>
        </w:rPr>
        <w:t>g, p</w:t>
      </w:r>
      <w:r>
        <w:rPr>
          <w:rFonts w:eastAsia="Arial" w:cs="Arial" w:ascii="Arial" w:hAnsi="Arial"/>
          <w:color w:val="auto"/>
          <w:spacing w:val="0"/>
          <w:w w:val="100"/>
          <w:sz w:val="20"/>
          <w:szCs w:val="20"/>
          <w:lang w:val="ro-RO"/>
        </w:rPr>
        <w:t xml:space="preserve"> cu 7 linii – g, care vor reprezenta clasele de gravitate, și 6 coloane – p – clasele de probabilitate:</w:t>
      </w:r>
    </w:p>
    <w:p>
      <w:pPr>
        <w:pStyle w:val="Normal"/>
        <w:widowControl/>
        <w:tabs>
          <w:tab w:val="left" w:pos="720" w:leader="none"/>
          <w:tab w:val="left" w:pos="900" w:leader="none"/>
          <w:tab w:val="left" w:pos="1710" w:leader="none"/>
          <w:tab w:val="left" w:pos="2880" w:leader="none"/>
          <w:tab w:val="left" w:pos="4320" w:leader="none"/>
          <w:tab w:val="left" w:pos="4500" w:leader="none"/>
        </w:tabs>
        <w:spacing w:lineRule="auto" w:line="360"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M</w:t>
      </w:r>
      <w:r>
        <w:rPr>
          <w:rFonts w:eastAsia="Arial" w:cs="Arial" w:ascii="Arial" w:hAnsi="Arial"/>
          <w:iCs/>
          <w:color w:val="auto"/>
          <w:spacing w:val="0"/>
          <w:w w:val="100"/>
          <w:sz w:val="20"/>
          <w:szCs w:val="20"/>
          <w:vertAlign w:val="subscript"/>
          <w:lang w:val="ro-RO"/>
        </w:rPr>
        <w:t>g, p</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r>
      <m:oMath xmlns:m="http://schemas.openxmlformats.org/officeDocument/2006/math">
        <m:d>
          <m:dPr>
            <m:begChr m:val="‖"/>
            <m:endChr m:val="‖"/>
          </m:dPr>
          <m:e>
            <m:m>
              <m:mr>
                <m:e>
                  <m:r>
                    <w:rPr>
                      <w:rFonts w:ascii="Cambria Math" w:hAnsi="Cambria Math"/>
                    </w:rPr>
                    <m:t xml:space="preserve">(</m:t>
                  </m:r>
                  <m:r>
                    <w:rPr>
                      <w:rFonts w:ascii="Cambria Math" w:hAnsi="Cambria Math"/>
                    </w:rPr>
                    <m:t xml:space="preserve">1,1</m:t>
                  </m:r>
                  <m:r>
                    <w:rPr>
                      <w:rFonts w:ascii="Cambria Math" w:hAnsi="Cambria Math"/>
                    </w:rPr>
                    <m:t xml:space="preserve">)</m:t>
                  </m:r>
                </m:e>
                <m:e>
                  <m:r>
                    <w:rPr>
                      <w:rFonts w:ascii="Cambria Math" w:hAnsi="Cambria Math"/>
                    </w:rPr>
                    <m:t xml:space="preserve">(</m:t>
                  </m:r>
                  <m:r>
                    <w:rPr>
                      <w:rFonts w:ascii="Cambria Math" w:hAnsi="Cambria Math"/>
                    </w:rPr>
                    <m:t xml:space="preserve">1,2</m:t>
                  </m:r>
                  <m:r>
                    <w:rPr>
                      <w:rFonts w:ascii="Cambria Math" w:hAnsi="Cambria Math"/>
                    </w:rPr>
                    <m:t xml:space="preserve">)</m:t>
                  </m:r>
                </m:e>
                <m:e>
                  <m:r>
                    <w:rPr>
                      <w:rFonts w:ascii="Cambria Math" w:hAnsi="Cambria Math"/>
                    </w:rPr>
                    <m:t xml:space="preserve">(</m:t>
                  </m:r>
                  <m:r>
                    <w:rPr>
                      <w:rFonts w:ascii="Cambria Math" w:hAnsi="Cambria Math"/>
                    </w:rPr>
                    <m:t xml:space="preserve">1,3</m:t>
                  </m:r>
                  <m:r>
                    <w:rPr>
                      <w:rFonts w:ascii="Cambria Math" w:hAnsi="Cambria Math"/>
                    </w:rPr>
                    <m:t xml:space="preserve">)</m:t>
                  </m:r>
                </m:e>
                <m:e>
                  <m:r>
                    <w:rPr>
                      <w:rFonts w:ascii="Cambria Math" w:hAnsi="Cambria Math"/>
                    </w:rPr>
                    <m:t xml:space="preserve">(</m:t>
                  </m:r>
                  <m:r>
                    <w:rPr>
                      <w:rFonts w:ascii="Cambria Math" w:hAnsi="Cambria Math"/>
                    </w:rPr>
                    <m:t xml:space="preserve">1,4</m:t>
                  </m:r>
                  <m:r>
                    <w:rPr>
                      <w:rFonts w:ascii="Cambria Math" w:hAnsi="Cambria Math"/>
                    </w:rPr>
                    <m:t xml:space="preserve">)</m:t>
                  </m:r>
                </m:e>
                <m:e>
                  <m:r>
                    <w:rPr>
                      <w:rFonts w:ascii="Cambria Math" w:hAnsi="Cambria Math"/>
                    </w:rPr>
                    <m:t xml:space="preserve">(</m:t>
                  </m:r>
                  <m:r>
                    <w:rPr>
                      <w:rFonts w:ascii="Cambria Math" w:hAnsi="Cambria Math"/>
                    </w:rPr>
                    <m:t xml:space="preserve">1,5</m:t>
                  </m:r>
                  <m:r>
                    <w:rPr>
                      <w:rFonts w:ascii="Cambria Math" w:hAnsi="Cambria Math"/>
                    </w:rPr>
                    <m:t xml:space="preserve">)</m:t>
                  </m:r>
                </m:e>
                <m:e>
                  <m:r>
                    <w:rPr>
                      <w:rFonts w:ascii="Cambria Math" w:hAnsi="Cambria Math"/>
                    </w:rPr>
                    <m:t xml:space="preserve">(</m:t>
                  </m:r>
                  <m:r>
                    <w:rPr>
                      <w:rFonts w:ascii="Cambria Math" w:hAnsi="Cambria Math"/>
                    </w:rPr>
                    <m:t xml:space="preserve">1,6</m:t>
                  </m:r>
                  <m:r>
                    <w:rPr>
                      <w:rFonts w:ascii="Cambria Math" w:hAnsi="Cambria Math"/>
                    </w:rPr>
                    <m:t xml:space="preserve">)</m:t>
                  </m:r>
                </m:e>
              </m:mr>
              <m:mr>
                <m:e>
                  <m:r>
                    <w:rPr>
                      <w:rFonts w:ascii="Cambria Math" w:hAnsi="Cambria Math"/>
                    </w:rPr>
                    <m:t xml:space="preserve">(</m:t>
                  </m:r>
                  <m:r>
                    <w:rPr>
                      <w:rFonts w:ascii="Cambria Math" w:hAnsi="Cambria Math"/>
                    </w:rPr>
                    <m:t xml:space="preserve">2,1</m:t>
                  </m:r>
                  <m:r>
                    <w:rPr>
                      <w:rFonts w:ascii="Cambria Math" w:hAnsi="Cambria Math"/>
                    </w:rPr>
                    <m:t xml:space="preserve">)</m:t>
                  </m:r>
                </m:e>
                <m:e>
                  <m:r>
                    <w:rPr>
                      <w:rFonts w:ascii="Cambria Math" w:hAnsi="Cambria Math"/>
                    </w:rPr>
                    <m:t xml:space="preserve">(</m:t>
                  </m:r>
                  <m:r>
                    <w:rPr>
                      <w:rFonts w:ascii="Cambria Math" w:hAnsi="Cambria Math"/>
                    </w:rPr>
                    <m:t xml:space="preserve">2,2</m:t>
                  </m:r>
                  <m:r>
                    <w:rPr>
                      <w:rFonts w:ascii="Cambria Math" w:hAnsi="Cambria Math"/>
                    </w:rPr>
                    <m:t xml:space="preserve">)</m:t>
                  </m:r>
                </m:e>
                <m:e>
                  <m:r>
                    <w:rPr>
                      <w:rFonts w:ascii="Cambria Math" w:hAnsi="Cambria Math"/>
                    </w:rPr>
                    <m:t xml:space="preserve">(</m:t>
                  </m:r>
                  <m:r>
                    <w:rPr>
                      <w:rFonts w:ascii="Cambria Math" w:hAnsi="Cambria Math"/>
                    </w:rPr>
                    <m:t xml:space="preserve">2,3</m:t>
                  </m:r>
                  <m:r>
                    <w:rPr>
                      <w:rFonts w:ascii="Cambria Math" w:hAnsi="Cambria Math"/>
                    </w:rPr>
                    <m:t xml:space="preserve">)</m:t>
                  </m:r>
                </m:e>
                <m:e>
                  <m:r>
                    <w:rPr>
                      <w:rFonts w:ascii="Cambria Math" w:hAnsi="Cambria Math"/>
                    </w:rPr>
                    <m:t xml:space="preserve">(</m:t>
                  </m:r>
                  <m:r>
                    <w:rPr>
                      <w:rFonts w:ascii="Cambria Math" w:hAnsi="Cambria Math"/>
                    </w:rPr>
                    <m:t xml:space="preserve">2,4</m:t>
                  </m:r>
                  <m:r>
                    <w:rPr>
                      <w:rFonts w:ascii="Cambria Math" w:hAnsi="Cambria Math"/>
                    </w:rPr>
                    <m:t xml:space="preserve">)</m:t>
                  </m:r>
                </m:e>
                <m:e>
                  <m:r>
                    <w:rPr>
                      <w:rFonts w:ascii="Cambria Math" w:hAnsi="Cambria Math"/>
                    </w:rPr>
                    <m:t xml:space="preserve">(</m:t>
                  </m:r>
                  <m:r>
                    <w:rPr>
                      <w:rFonts w:ascii="Cambria Math" w:hAnsi="Cambria Math"/>
                    </w:rPr>
                    <m:t xml:space="preserve">2,5</m:t>
                  </m:r>
                  <m:r>
                    <w:rPr>
                      <w:rFonts w:ascii="Cambria Math" w:hAnsi="Cambria Math"/>
                    </w:rPr>
                    <m:t xml:space="preserve">)</m:t>
                  </m:r>
                </m:e>
                <m:e>
                  <m:r>
                    <w:rPr>
                      <w:rFonts w:ascii="Cambria Math" w:hAnsi="Cambria Math"/>
                    </w:rPr>
                    <m:t xml:space="preserve">(</m:t>
                  </m:r>
                  <m:r>
                    <w:rPr>
                      <w:rFonts w:ascii="Cambria Math" w:hAnsi="Cambria Math"/>
                    </w:rPr>
                    <m:t xml:space="preserve">2,6</m:t>
                  </m:r>
                  <m:r>
                    <w:rPr>
                      <w:rFonts w:ascii="Cambria Math" w:hAnsi="Cambria Math"/>
                    </w:rPr>
                    <m:t xml:space="preserve">)</m:t>
                  </m:r>
                </m:e>
              </m:mr>
              <m:mr>
                <m:e>
                  <m:r>
                    <w:rPr>
                      <w:rFonts w:ascii="Cambria Math" w:hAnsi="Cambria Math"/>
                    </w:rPr>
                    <m:t xml:space="preserve">(</m:t>
                  </m:r>
                  <m:r>
                    <w:rPr>
                      <w:rFonts w:ascii="Cambria Math" w:hAnsi="Cambria Math"/>
                    </w:rPr>
                    <m:t xml:space="preserve">3,1</m:t>
                  </m:r>
                  <m:r>
                    <w:rPr>
                      <w:rFonts w:ascii="Cambria Math" w:hAnsi="Cambria Math"/>
                    </w:rPr>
                    <m:t xml:space="preserve">)</m:t>
                  </m:r>
                </m:e>
                <m:e>
                  <m:r>
                    <w:rPr>
                      <w:rFonts w:ascii="Cambria Math" w:hAnsi="Cambria Math"/>
                    </w:rPr>
                    <m:t xml:space="preserve">(</m:t>
                  </m:r>
                  <m:r>
                    <w:rPr>
                      <w:rFonts w:ascii="Cambria Math" w:hAnsi="Cambria Math"/>
                    </w:rPr>
                    <m:t xml:space="preserve">3,2</m:t>
                  </m:r>
                  <m:r>
                    <w:rPr>
                      <w:rFonts w:ascii="Cambria Math" w:hAnsi="Cambria Math"/>
                    </w:rPr>
                    <m:t xml:space="preserve">)</m:t>
                  </m:r>
                </m:e>
                <m:e>
                  <m:r>
                    <w:rPr>
                      <w:rFonts w:ascii="Cambria Math" w:hAnsi="Cambria Math"/>
                    </w:rPr>
                    <m:t xml:space="preserve">(</m:t>
                  </m:r>
                  <m:r>
                    <w:rPr>
                      <w:rFonts w:ascii="Cambria Math" w:hAnsi="Cambria Math"/>
                    </w:rPr>
                    <m:t xml:space="preserve">3,3</m:t>
                  </m:r>
                  <m:r>
                    <w:rPr>
                      <w:rFonts w:ascii="Cambria Math" w:hAnsi="Cambria Math"/>
                    </w:rPr>
                    <m:t xml:space="preserve">)</m:t>
                  </m:r>
                </m:e>
                <m:e>
                  <m:r>
                    <w:rPr>
                      <w:rFonts w:ascii="Cambria Math" w:hAnsi="Cambria Math"/>
                    </w:rPr>
                    <m:t xml:space="preserve">(</m:t>
                  </m:r>
                  <m:r>
                    <w:rPr>
                      <w:rFonts w:ascii="Cambria Math" w:hAnsi="Cambria Math"/>
                    </w:rPr>
                    <m:t xml:space="preserve">3,4</m:t>
                  </m:r>
                  <m:r>
                    <w:rPr>
                      <w:rFonts w:ascii="Cambria Math" w:hAnsi="Cambria Math"/>
                    </w:rPr>
                    <m:t xml:space="preserve">)</m:t>
                  </m:r>
                </m:e>
                <m:e>
                  <m:r>
                    <w:rPr>
                      <w:rFonts w:ascii="Cambria Math" w:hAnsi="Cambria Math"/>
                    </w:rPr>
                    <m:t xml:space="preserve">(</m:t>
                  </m:r>
                  <m:r>
                    <w:rPr>
                      <w:rFonts w:ascii="Cambria Math" w:hAnsi="Cambria Math"/>
                    </w:rPr>
                    <m:t xml:space="preserve">3,5</m:t>
                  </m:r>
                  <m:r>
                    <w:rPr>
                      <w:rFonts w:ascii="Cambria Math" w:hAnsi="Cambria Math"/>
                    </w:rPr>
                    <m:t xml:space="preserve">)</m:t>
                  </m:r>
                </m:e>
                <m:e>
                  <m:r>
                    <w:rPr>
                      <w:rFonts w:ascii="Cambria Math" w:hAnsi="Cambria Math"/>
                    </w:rPr>
                    <m:t xml:space="preserve">(</m:t>
                  </m:r>
                  <m:r>
                    <w:rPr>
                      <w:rFonts w:ascii="Cambria Math" w:hAnsi="Cambria Math"/>
                    </w:rPr>
                    <m:t xml:space="preserve">3,6</m:t>
                  </m:r>
                  <m:r>
                    <w:rPr>
                      <w:rFonts w:ascii="Cambria Math" w:hAnsi="Cambria Math"/>
                    </w:rPr>
                    <m:t xml:space="preserve">)</m:t>
                  </m:r>
                </m:e>
              </m:mr>
              <m:mr>
                <m:e>
                  <m:r>
                    <w:rPr>
                      <w:rFonts w:ascii="Cambria Math" w:hAnsi="Cambria Math"/>
                    </w:rPr>
                    <m:t xml:space="preserve">(</m:t>
                  </m:r>
                  <m:r>
                    <w:rPr>
                      <w:rFonts w:ascii="Cambria Math" w:hAnsi="Cambria Math"/>
                    </w:rPr>
                    <m:t xml:space="preserve">4,1</m:t>
                  </m:r>
                  <m:r>
                    <w:rPr>
                      <w:rFonts w:ascii="Cambria Math" w:hAnsi="Cambria Math"/>
                    </w:rPr>
                    <m:t xml:space="preserve">)</m:t>
                  </m:r>
                </m:e>
                <m:e>
                  <m:r>
                    <w:rPr>
                      <w:rFonts w:ascii="Cambria Math" w:hAnsi="Cambria Math"/>
                    </w:rPr>
                    <m:t xml:space="preserve">(</m:t>
                  </m:r>
                  <m:r>
                    <w:rPr>
                      <w:rFonts w:ascii="Cambria Math" w:hAnsi="Cambria Math"/>
                    </w:rPr>
                    <m:t xml:space="preserve">4,2</m:t>
                  </m:r>
                  <m:r>
                    <w:rPr>
                      <w:rFonts w:ascii="Cambria Math" w:hAnsi="Cambria Math"/>
                    </w:rPr>
                    <m:t xml:space="preserve">)</m:t>
                  </m:r>
                </m:e>
                <m:e>
                  <m:r>
                    <w:rPr>
                      <w:rFonts w:ascii="Cambria Math" w:hAnsi="Cambria Math"/>
                    </w:rPr>
                    <m:t xml:space="preserve">(</m:t>
                  </m:r>
                  <m:r>
                    <w:rPr>
                      <w:rFonts w:ascii="Cambria Math" w:hAnsi="Cambria Math"/>
                    </w:rPr>
                    <m:t xml:space="preserve">4,3</m:t>
                  </m:r>
                  <m:r>
                    <w:rPr>
                      <w:rFonts w:ascii="Cambria Math" w:hAnsi="Cambria Math"/>
                    </w:rPr>
                    <m:t xml:space="preserve">)</m:t>
                  </m:r>
                </m:e>
                <m:e>
                  <m:r>
                    <w:rPr>
                      <w:rFonts w:ascii="Cambria Math" w:hAnsi="Cambria Math"/>
                    </w:rPr>
                    <m:t xml:space="preserve">(</m:t>
                  </m:r>
                  <m:r>
                    <w:rPr>
                      <w:rFonts w:ascii="Cambria Math" w:hAnsi="Cambria Math"/>
                    </w:rPr>
                    <m:t xml:space="preserve">4,4</m:t>
                  </m:r>
                  <m:r>
                    <w:rPr>
                      <w:rFonts w:ascii="Cambria Math" w:hAnsi="Cambria Math"/>
                    </w:rPr>
                    <m:t xml:space="preserve">)</m:t>
                  </m:r>
                </m:e>
                <m:e>
                  <m:r>
                    <w:rPr>
                      <w:rFonts w:ascii="Cambria Math" w:hAnsi="Cambria Math"/>
                    </w:rPr>
                    <m:t xml:space="preserve">(</m:t>
                  </m:r>
                  <m:r>
                    <w:rPr>
                      <w:rFonts w:ascii="Cambria Math" w:hAnsi="Cambria Math"/>
                    </w:rPr>
                    <m:t xml:space="preserve">4,5</m:t>
                  </m:r>
                  <m:r>
                    <w:rPr>
                      <w:rFonts w:ascii="Cambria Math" w:hAnsi="Cambria Math"/>
                    </w:rPr>
                    <m:t xml:space="preserve">)</m:t>
                  </m:r>
                </m:e>
                <m:e>
                  <m:r>
                    <w:rPr>
                      <w:rFonts w:ascii="Cambria Math" w:hAnsi="Cambria Math"/>
                    </w:rPr>
                    <m:t xml:space="preserve">(</m:t>
                  </m:r>
                  <m:r>
                    <w:rPr>
                      <w:rFonts w:ascii="Cambria Math" w:hAnsi="Cambria Math"/>
                    </w:rPr>
                    <m:t xml:space="preserve">4,6</m:t>
                  </m:r>
                  <m:r>
                    <w:rPr>
                      <w:rFonts w:ascii="Cambria Math" w:hAnsi="Cambria Math"/>
                    </w:rPr>
                    <m:t xml:space="preserve">)</m:t>
                  </m:r>
                </m:e>
              </m:mr>
              <m:mr>
                <m:e>
                  <m:r>
                    <w:rPr>
                      <w:rFonts w:ascii="Cambria Math" w:hAnsi="Cambria Math"/>
                    </w:rPr>
                    <m:t xml:space="preserve">(</m:t>
                  </m:r>
                  <m:r>
                    <w:rPr>
                      <w:rFonts w:ascii="Cambria Math" w:hAnsi="Cambria Math"/>
                    </w:rPr>
                    <m:t xml:space="preserve">5,1</m:t>
                  </m:r>
                  <m:r>
                    <w:rPr>
                      <w:rFonts w:ascii="Cambria Math" w:hAnsi="Cambria Math"/>
                    </w:rPr>
                    <m:t xml:space="preserve">)</m:t>
                  </m:r>
                </m:e>
                <m:e>
                  <m:r>
                    <w:rPr>
                      <w:rFonts w:ascii="Cambria Math" w:hAnsi="Cambria Math"/>
                    </w:rPr>
                    <m:t xml:space="preserve">(</m:t>
                  </m:r>
                  <m:r>
                    <w:rPr>
                      <w:rFonts w:ascii="Cambria Math" w:hAnsi="Cambria Math"/>
                    </w:rPr>
                    <m:t xml:space="preserve">5,2</m:t>
                  </m:r>
                  <m:r>
                    <w:rPr>
                      <w:rFonts w:ascii="Cambria Math" w:hAnsi="Cambria Math"/>
                    </w:rPr>
                    <m:t xml:space="preserve">)</m:t>
                  </m:r>
                </m:e>
                <m:e>
                  <m:r>
                    <w:rPr>
                      <w:rFonts w:ascii="Cambria Math" w:hAnsi="Cambria Math"/>
                    </w:rPr>
                    <m:t xml:space="preserve">(</m:t>
                  </m:r>
                  <m:r>
                    <w:rPr>
                      <w:rFonts w:ascii="Cambria Math" w:hAnsi="Cambria Math"/>
                    </w:rPr>
                    <m:t xml:space="preserve">5,3</m:t>
                  </m:r>
                  <m:r>
                    <w:rPr>
                      <w:rFonts w:ascii="Cambria Math" w:hAnsi="Cambria Math"/>
                    </w:rPr>
                    <m:t xml:space="preserve">)</m:t>
                  </m:r>
                </m:e>
                <m:e>
                  <m:r>
                    <w:rPr>
                      <w:rFonts w:ascii="Cambria Math" w:hAnsi="Cambria Math"/>
                    </w:rPr>
                    <m:t xml:space="preserve">(</m:t>
                  </m:r>
                  <m:r>
                    <w:rPr>
                      <w:rFonts w:ascii="Cambria Math" w:hAnsi="Cambria Math"/>
                    </w:rPr>
                    <m:t xml:space="preserve">5,4</m:t>
                  </m:r>
                  <m:r>
                    <w:rPr>
                      <w:rFonts w:ascii="Cambria Math" w:hAnsi="Cambria Math"/>
                    </w:rPr>
                    <m:t xml:space="preserve">)</m:t>
                  </m:r>
                </m:e>
                <m:e>
                  <m:r>
                    <w:rPr>
                      <w:rFonts w:ascii="Cambria Math" w:hAnsi="Cambria Math"/>
                    </w:rPr>
                    <m:t xml:space="preserve">(</m:t>
                  </m:r>
                  <m:r>
                    <w:rPr>
                      <w:rFonts w:ascii="Cambria Math" w:hAnsi="Cambria Math"/>
                    </w:rPr>
                    <m:t xml:space="preserve">5,5</m:t>
                  </m:r>
                  <m:r>
                    <w:rPr>
                      <w:rFonts w:ascii="Cambria Math" w:hAnsi="Cambria Math"/>
                    </w:rPr>
                    <m:t xml:space="preserve">)</m:t>
                  </m:r>
                </m:e>
                <m:e>
                  <m:r>
                    <w:rPr>
                      <w:rFonts w:ascii="Cambria Math" w:hAnsi="Cambria Math"/>
                    </w:rPr>
                    <m:t xml:space="preserve">(</m:t>
                  </m:r>
                  <m:r>
                    <w:rPr>
                      <w:rFonts w:ascii="Cambria Math" w:hAnsi="Cambria Math"/>
                    </w:rPr>
                    <m:t xml:space="preserve">5,6</m:t>
                  </m:r>
                  <m:r>
                    <w:rPr>
                      <w:rFonts w:ascii="Cambria Math" w:hAnsi="Cambria Math"/>
                    </w:rPr>
                    <m:t xml:space="preserve">)</m:t>
                  </m:r>
                </m:e>
              </m:mr>
              <m:mr>
                <m:e>
                  <m:r>
                    <w:rPr>
                      <w:rFonts w:ascii="Cambria Math" w:hAnsi="Cambria Math"/>
                    </w:rPr>
                    <m:t xml:space="preserve">(</m:t>
                  </m:r>
                  <m:r>
                    <w:rPr>
                      <w:rFonts w:ascii="Cambria Math" w:hAnsi="Cambria Math"/>
                    </w:rPr>
                    <m:t xml:space="preserve">6,1</m:t>
                  </m:r>
                  <m:r>
                    <w:rPr>
                      <w:rFonts w:ascii="Cambria Math" w:hAnsi="Cambria Math"/>
                    </w:rPr>
                    <m:t xml:space="preserve">)</m:t>
                  </m:r>
                </m:e>
                <m:e>
                  <m:r>
                    <w:rPr>
                      <w:rFonts w:ascii="Cambria Math" w:hAnsi="Cambria Math"/>
                    </w:rPr>
                    <m:t xml:space="preserve">(</m:t>
                  </m:r>
                  <m:r>
                    <w:rPr>
                      <w:rFonts w:ascii="Cambria Math" w:hAnsi="Cambria Math"/>
                    </w:rPr>
                    <m:t xml:space="preserve">6,2</m:t>
                  </m:r>
                  <m:r>
                    <w:rPr>
                      <w:rFonts w:ascii="Cambria Math" w:hAnsi="Cambria Math"/>
                    </w:rPr>
                    <m:t xml:space="preserve">)</m:t>
                  </m:r>
                </m:e>
                <m:e>
                  <m:r>
                    <w:rPr>
                      <w:rFonts w:ascii="Cambria Math" w:hAnsi="Cambria Math"/>
                    </w:rPr>
                    <m:t xml:space="preserve">(</m:t>
                  </m:r>
                  <m:r>
                    <w:rPr>
                      <w:rFonts w:ascii="Cambria Math" w:hAnsi="Cambria Math"/>
                    </w:rPr>
                    <m:t xml:space="preserve">6,3</m:t>
                  </m:r>
                  <m:r>
                    <w:rPr>
                      <w:rFonts w:ascii="Cambria Math" w:hAnsi="Cambria Math"/>
                    </w:rPr>
                    <m:t xml:space="preserve">)</m:t>
                  </m:r>
                </m:e>
                <m:e>
                  <m:r>
                    <w:rPr>
                      <w:rFonts w:ascii="Cambria Math" w:hAnsi="Cambria Math"/>
                    </w:rPr>
                    <m:t xml:space="preserve">(</m:t>
                  </m:r>
                  <m:r>
                    <w:rPr>
                      <w:rFonts w:ascii="Cambria Math" w:hAnsi="Cambria Math"/>
                    </w:rPr>
                    <m:t xml:space="preserve">6,4</m:t>
                  </m:r>
                  <m:r>
                    <w:rPr>
                      <w:rFonts w:ascii="Cambria Math" w:hAnsi="Cambria Math"/>
                    </w:rPr>
                    <m:t xml:space="preserve">)</m:t>
                  </m:r>
                </m:e>
                <m:e>
                  <m:r>
                    <w:rPr>
                      <w:rFonts w:ascii="Cambria Math" w:hAnsi="Cambria Math"/>
                    </w:rPr>
                    <m:t xml:space="preserve">(</m:t>
                  </m:r>
                  <m:r>
                    <w:rPr>
                      <w:rFonts w:ascii="Cambria Math" w:hAnsi="Cambria Math"/>
                    </w:rPr>
                    <m:t xml:space="preserve">6,5</m:t>
                  </m:r>
                  <m:r>
                    <w:rPr>
                      <w:rFonts w:ascii="Cambria Math" w:hAnsi="Cambria Math"/>
                    </w:rPr>
                    <m:t xml:space="preserve">)</m:t>
                  </m:r>
                </m:e>
                <m:e>
                  <m:r>
                    <w:rPr>
                      <w:rFonts w:ascii="Cambria Math" w:hAnsi="Cambria Math"/>
                    </w:rPr>
                    <m:t xml:space="preserve">(</m:t>
                  </m:r>
                  <m:r>
                    <w:rPr>
                      <w:rFonts w:ascii="Cambria Math" w:hAnsi="Cambria Math"/>
                    </w:rPr>
                    <m:t xml:space="preserve">6,6</m:t>
                  </m:r>
                  <m:r>
                    <w:rPr>
                      <w:rFonts w:ascii="Cambria Math" w:hAnsi="Cambria Math"/>
                    </w:rPr>
                    <m:t xml:space="preserve">)</m:t>
                  </m:r>
                </m:e>
              </m:mr>
              <m:mr>
                <m:e>
                  <m:r>
                    <w:rPr>
                      <w:rFonts w:ascii="Cambria Math" w:hAnsi="Cambria Math"/>
                    </w:rPr>
                    <m:t xml:space="preserve">(</m:t>
                  </m:r>
                  <m:r>
                    <w:rPr>
                      <w:rFonts w:ascii="Cambria Math" w:hAnsi="Cambria Math"/>
                    </w:rPr>
                    <m:t xml:space="preserve">7,1</m:t>
                  </m:r>
                  <m:r>
                    <w:rPr>
                      <w:rFonts w:ascii="Cambria Math" w:hAnsi="Cambria Math"/>
                    </w:rPr>
                    <m:t xml:space="preserve">)</m:t>
                  </m:r>
                </m:e>
                <m:e>
                  <m:r>
                    <w:rPr>
                      <w:rFonts w:ascii="Cambria Math" w:hAnsi="Cambria Math"/>
                    </w:rPr>
                    <m:t xml:space="preserve">(</m:t>
                  </m:r>
                  <m:r>
                    <w:rPr>
                      <w:rFonts w:ascii="Cambria Math" w:hAnsi="Cambria Math"/>
                    </w:rPr>
                    <m:t xml:space="preserve">7,2</m:t>
                  </m:r>
                  <m:r>
                    <w:rPr>
                      <w:rFonts w:ascii="Cambria Math" w:hAnsi="Cambria Math"/>
                    </w:rPr>
                    <m:t xml:space="preserve">)</m:t>
                  </m:r>
                </m:e>
                <m:e>
                  <m:r>
                    <w:rPr>
                      <w:rFonts w:ascii="Cambria Math" w:hAnsi="Cambria Math"/>
                    </w:rPr>
                    <m:t xml:space="preserve">(</m:t>
                  </m:r>
                  <m:r>
                    <w:rPr>
                      <w:rFonts w:ascii="Cambria Math" w:hAnsi="Cambria Math"/>
                    </w:rPr>
                    <m:t xml:space="preserve">7,3</m:t>
                  </m:r>
                  <m:r>
                    <w:rPr>
                      <w:rFonts w:ascii="Cambria Math" w:hAnsi="Cambria Math"/>
                    </w:rPr>
                    <m:t xml:space="preserve">)</m:t>
                  </m:r>
                </m:e>
                <m:e>
                  <m:r>
                    <w:rPr>
                      <w:rFonts w:ascii="Cambria Math" w:hAnsi="Cambria Math"/>
                    </w:rPr>
                    <m:t xml:space="preserve">(</m:t>
                  </m:r>
                  <m:r>
                    <w:rPr>
                      <w:rFonts w:ascii="Cambria Math" w:hAnsi="Cambria Math"/>
                    </w:rPr>
                    <m:t xml:space="preserve">7,4</m:t>
                  </m:r>
                  <m:r>
                    <w:rPr>
                      <w:rFonts w:ascii="Cambria Math" w:hAnsi="Cambria Math"/>
                    </w:rPr>
                    <m:t xml:space="preserve">)</m:t>
                  </m:r>
                </m:e>
                <m:e>
                  <m:r>
                    <w:rPr>
                      <w:rFonts w:ascii="Cambria Math" w:hAnsi="Cambria Math"/>
                    </w:rPr>
                    <m:t xml:space="preserve">(</m:t>
                  </m:r>
                  <m:r>
                    <w:rPr>
                      <w:rFonts w:ascii="Cambria Math" w:hAnsi="Cambria Math"/>
                    </w:rPr>
                    <m:t xml:space="preserve">7,5</m:t>
                  </m:r>
                  <m:r>
                    <w:rPr>
                      <w:rFonts w:ascii="Cambria Math" w:hAnsi="Cambria Math"/>
                    </w:rPr>
                    <m:t xml:space="preserve">)</m:t>
                  </m:r>
                </m:e>
                <m:e>
                  <m:r>
                    <w:rPr>
                      <w:rFonts w:ascii="Cambria Math" w:hAnsi="Cambria Math"/>
                    </w:rPr>
                    <m:t xml:space="preserve">(</m:t>
                  </m:r>
                  <m:r>
                    <w:rPr>
                      <w:rFonts w:ascii="Cambria Math" w:hAnsi="Cambria Math"/>
                    </w:rPr>
                    <m:t xml:space="preserve">7,6</m:t>
                  </m:r>
                  <m:r>
                    <w:rPr>
                      <w:rFonts w:ascii="Cambria Math" w:hAnsi="Cambria Math"/>
                    </w:rPr>
                    <m:t xml:space="preserve">)</m:t>
                  </m:r>
                </m:e>
              </m:mr>
            </m:m>
          </m:e>
        </m:d>
      </m:oMath>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Reprezentând grafic (figura 1.4) matricea în cadrul unui sistem de coordonate rectangulare obținem un dreptunghi a cărui bază (abscisa) o constituie mulțimea claselor de probabilitate, înălțimea (ordonată) – clasele de gravitate, iar suprafața sa: mulțimea nivelurilor de risc posibile:</w:t>
      </w:r>
    </w:p>
    <w:p>
      <w:pPr>
        <w:pStyle w:val="Normal"/>
        <w:widowControl/>
        <w:spacing w:before="0" w:after="0"/>
        <w:ind w:hanging="0"/>
        <w:jc w:val="left"/>
        <w:rPr>
          <w:rFonts w:ascii="Arial" w:hAnsi="Arial" w:cs="Arial"/>
          <w:sz w:val="18"/>
          <w:szCs w:val="18"/>
        </w:rPr>
      </w:pPr>
      <w:r>
        <w:rPr>
          <w:rFonts w:eastAsia="Arial" w:cs="Arial" w:ascii="Arial" w:hAnsi="Arial"/>
          <w:color w:val="auto"/>
          <w:spacing w:val="0"/>
          <w:w w:val="100"/>
          <w:sz w:val="2"/>
          <w:szCs w:val="20"/>
          <w:lang w:val="ro-RO"/>
        </w:rPr>
      </w:r>
      <m:oMathPara xmlns:m="http://schemas.openxmlformats.org/officeDocument/2006/math">
        <m:oMathParaPr>
          <m:jc m:val="left"/>
        </m:oMathParaPr>
        <m:oMath>
          <m:nary>
            <m:naryPr>
              <m:chr m:val="∑"/>
            </m:naryPr>
            <m:sub>
              <m:r>
                <w:rPr>
                  <w:rFonts w:ascii="Cambria Math" w:hAnsi="Cambria Math"/>
                </w:rPr>
                <m:t xml:space="preserve">R</m:t>
              </m:r>
              <m:r>
                <w:rPr>
                  <w:rFonts w:ascii="Cambria Math" w:hAnsi="Cambria Math"/>
                </w:rPr>
                <m:t xml:space="preserve">=</m:t>
              </m:r>
              <m:r>
                <w:rPr>
                  <w:rFonts w:ascii="Cambria Math" w:hAnsi="Cambria Math"/>
                </w:rPr>
                <m:t xml:space="preserve">1</m:t>
              </m:r>
            </m:sub>
            <m:sup>
              <m:r>
                <w:rPr>
                  <w:rFonts w:ascii="Cambria Math" w:hAnsi="Cambria Math"/>
                </w:rPr>
                <m:t xml:space="preserve">7</m:t>
              </m:r>
            </m:sup>
            <m:e>
              <m:sSub>
                <m:e>
                  <m:r>
                    <w:rPr>
                      <w:rFonts w:ascii="Cambria Math" w:hAnsi="Cambria Math"/>
                    </w:rPr>
                    <m:t xml:space="preserve">N</m:t>
                  </m:r>
                </m:e>
                <m:sub>
                  <m:r>
                    <w:rPr>
                      <w:rFonts w:ascii="Cambria Math" w:hAnsi="Cambria Math"/>
                    </w:rPr>
                    <m:t xml:space="preserve">R</m:t>
                  </m:r>
                </m:sub>
              </m:sSub>
            </m:e>
          </m:nary>
        </m:oMath>
      </m:oMathPara>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 asemenea, cu ajutorul fiecăruia dintre cupluri descriem un dreptunghi care considerăm că figurează un risc; fiecărei microsuprafețe îi vom atribui un nivel de risc, astfel încât prin reuniune să obținem:</w:t>
      </w:r>
    </w:p>
    <w:p>
      <w:pPr>
        <w:pStyle w:val="BodyText"/>
        <w:keepNext/>
        <w:widowControl/>
        <w:tabs>
          <w:tab w:val="clear" w:pos="1080"/>
          <w:tab w:val="clear" w:pos="1260"/>
          <w:tab w:val="left" w:pos="1710" w:leader="none"/>
          <w:tab w:val="left" w:pos="2880" w:leader="none"/>
          <w:tab w:val="left" w:pos="4320" w:leader="none"/>
          <w:tab w:val="left" w:pos="4500" w:leader="none"/>
        </w:tabs>
        <w:spacing w:before="0" w:after="0"/>
        <w:ind w:hanging="0"/>
        <w:jc w:val="left"/>
        <w:rPr>
          <w:rFonts w:cs="Arial"/>
          <w:sz w:val="18"/>
          <w:szCs w:val="18"/>
          <w:lang w:val="ro-RO"/>
        </w:rPr>
      </w:pPr>
      <w:r>
        <w:drawing>
          <wp:inline distT="0" distB="0" distL="0" distR="0">
            <wp:extent cx="2057400" cy="1791970"/>
            <wp:effectExtent l="0" t="0" r="0" b="0"/>
            <wp:docPr id="4" name="Picture 39" descr="crina-fig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9" descr="crina-fig14"/>
                    <pic:cNvPicPr>
                      <a:picLocks noChangeAspect="1" noChangeArrowheads="1"/>
                    </pic:cNvPicPr>
                  </pic:nvPicPr>
                  <pic:blipFill>
                    <a:blip r:embed="rId9">
                      <a:biLevel thresh="50000"/>
                    </a:blip>
                    <a:stretch>
                      <a:fillRect/>
                    </a:stretch>
                  </pic:blipFill>
                  <pic:spPr bwMode="auto">
                    <a:xfrm>
                      <a:off x="0" y="0"/>
                      <a:ext cx="2057400" cy="1791970"/>
                    </a:xfrm>
                    <a:prstGeom prst="rect">
                      <a:avLst/>
                    </a:prstGeom>
                    <a:noFill/>
                  </pic:spPr>
                </pic:pic>
              </a:graphicData>
            </a:graphic>
          </wp:inline>
        </w:drawing>
      </w:r>
      <w:r>
        <w:br/>
      </w:r>
      <w:r>
        <w:rPr>
          <w:rFonts w:eastAsia="Arial" w:cs="Arial" w:ascii="Arial" w:hAnsi="Arial"/>
          <w:color w:val="auto"/>
          <w:spacing w:val="0"/>
          <w:w w:val="100"/>
          <w:sz w:val="2"/>
          <w:szCs w:val="20"/>
          <w:lang w:val="ro-RO"/>
        </w:rPr>
      </w:r>
      <m:oMathPara xmlns:m="http://schemas.openxmlformats.org/officeDocument/2006/math">
        <m:oMathParaPr>
          <m:jc m:val="left"/>
        </m:oMathParaPr>
        <m:oMath>
          <m:nary>
            <m:naryPr>
              <m:chr m:val="∑"/>
            </m:naryPr>
            <m:sub>
              <m:r>
                <w:rPr>
                  <w:rFonts w:ascii="Cambria Math" w:hAnsi="Cambria Math"/>
                </w:rPr>
                <m:t xml:space="preserve">R</m:t>
              </m:r>
              <m:r>
                <w:rPr>
                  <w:rFonts w:ascii="Cambria Math" w:hAnsi="Cambria Math"/>
                </w:rPr>
                <m:t xml:space="preserve">=</m:t>
              </m:r>
              <m:r>
                <w:rPr>
                  <w:rFonts w:ascii="Cambria Math" w:hAnsi="Cambria Math"/>
                </w:rPr>
                <m:t xml:space="preserve">1</m:t>
              </m:r>
            </m:sub>
            <m:sup>
              <m:r>
                <w:rPr>
                  <w:rFonts w:ascii="Cambria Math" w:hAnsi="Cambria Math"/>
                </w:rPr>
                <m:t xml:space="preserve">7</m:t>
              </m:r>
            </m:sup>
            <m:e>
              <m:sSub>
                <m:e>
                  <m:r>
                    <w:rPr>
                      <w:rFonts w:ascii="Cambria Math" w:hAnsi="Cambria Math"/>
                    </w:rPr>
                    <m:t xml:space="preserve">N</m:t>
                  </m:r>
                </m:e>
                <m:sub>
                  <m:r>
                    <w:rPr>
                      <w:rFonts w:ascii="Cambria Math" w:hAnsi="Cambria Math"/>
                    </w:rPr>
                    <m:t xml:space="preserve">R</m:t>
                  </m:r>
                </m:sub>
              </m:sSub>
            </m:e>
          </m:nary>
        </m:oMath>
      </m:oMathPara>
    </w:p>
    <w:p>
      <w:pPr>
        <w:pStyle w:val="Normal"/>
        <w:keepNext/>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 xml:space="preserve">Fig. 1.4. Reprezentarea grafică a matricei cuplurilor de variabile gravitate – probabilitate (mulțimea nivelurilor de risc): </w:t>
      </w:r>
      <w:r>
        <w:rPr>
          <w:rFonts w:eastAsia="Arial" w:cs="Arial" w:ascii="Arial" w:hAnsi="Arial"/>
          <w:b/>
          <w:bCs/>
          <w:i/>
          <w:iCs/>
          <w:color w:val="auto"/>
          <w:spacing w:val="0"/>
          <w:w w:val="100"/>
          <w:sz w:val="20"/>
          <w:szCs w:val="20"/>
          <w:lang w:val="ro-RO"/>
        </w:rPr>
        <w:t>g</w:t>
      </w:r>
      <w:r>
        <w:rPr>
          <w:rFonts w:eastAsia="Arial" w:cs="Arial" w:ascii="Arial" w:hAnsi="Arial"/>
          <w:b/>
          <w:bCs/>
          <w:color w:val="auto"/>
          <w:spacing w:val="0"/>
          <w:w w:val="100"/>
          <w:sz w:val="20"/>
          <w:szCs w:val="20"/>
          <w:lang w:val="ro-RO"/>
        </w:rPr>
        <w:t xml:space="preserve"> – clasă de gravitate; </w:t>
      </w:r>
      <w:r>
        <w:rPr>
          <w:rFonts w:eastAsia="Arial" w:cs="Arial" w:ascii="Arial" w:hAnsi="Arial"/>
          <w:b/>
          <w:bCs/>
          <w:i/>
          <w:iCs/>
          <w:color w:val="auto"/>
          <w:spacing w:val="0"/>
          <w:w w:val="100"/>
          <w:sz w:val="20"/>
          <w:szCs w:val="20"/>
          <w:lang w:val="ro-RO"/>
        </w:rPr>
        <w:t>p</w:t>
      </w:r>
      <w:r>
        <w:rPr>
          <w:rFonts w:eastAsia="Arial" w:cs="Arial" w:ascii="Arial" w:hAnsi="Arial"/>
          <w:b/>
          <w:bCs/>
          <w:color w:val="auto"/>
          <w:spacing w:val="0"/>
          <w:w w:val="100"/>
          <w:sz w:val="20"/>
          <w:szCs w:val="20"/>
          <w:lang w:val="ro-RO"/>
        </w:rPr>
        <w:t xml:space="preserve"> – clasă de probabilitate;</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Observație: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Din considerente practice, la construirea graficului s-au acceptat următoarele convenții: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atât pe axa Og, cât și pe axa Op, clasele corespunzătoare au fost figurate prin segmente egale, deși diferențele între gravitățile evenimentelor de la o clasă la alta, cât și intervalele de timp în cazul claselor de probabilitate, pe baza cărora s-au determinat, nu sunt egale;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intervalele care reprezintă clasele de gravitate s-au folosit segmente cu lungime mai mare decât pentru cele care delimitează clasele de frecvență (1</w:t>
      </w:r>
      <w:r>
        <w:rPr>
          <w:rFonts w:eastAsia="Arial" w:cs="Arial" w:ascii="Arial" w:hAnsi="Arial"/>
          <w:color w:val="auto"/>
          <w:spacing w:val="0"/>
          <w:w w:val="100"/>
          <w:sz w:val="20"/>
          <w:szCs w:val="20"/>
          <w:vertAlign w:val="superscript"/>
          <w:lang w:val="ro-RO"/>
        </w:rPr>
        <w:t>1/2</w:t>
      </w:r>
      <w:r>
        <w:rPr>
          <w:rFonts w:eastAsia="Arial" w:cs="Arial" w:ascii="Arial" w:hAnsi="Arial"/>
          <w:color w:val="auto"/>
          <w:spacing w:val="0"/>
          <w:w w:val="100"/>
          <w:sz w:val="20"/>
          <w:szCs w:val="20"/>
          <w:lang w:val="ro-RO"/>
        </w:rPr>
        <w:t xml:space="preserve"> - 1), tocmai datorită premisei că gravitatea are o pondere mult mai mare în dimensiunea riscului.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Prin suprapunerea succesivă, în anumite condiții, a curbei de acceptabilitate a riscului asupra reprezentării obținute a mulțimii nivelurilor de risc s-a stabilit încadrarea cuplurilor pe niveluri de risc, așa cum se explicitează în continuare.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Menținând logica reprezentării prin segmente egale a claselor, rezultă că și curbele care delimitează nivelurile de risc trebuie să fie echidistante. În consecință, împărțim diagonala mare a dreptunghiului care semnifică suma mulțimilor nivelurilor de risc în 7 segmente egale, prin care se vor trasa curbele.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Nivelul 1 – nivel minim de risc acceptabil</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Limita din dreapta a primului segment este unul dintre punctele prin care se va trasa curba nivelului 1. Luăm acum în considerare toate cuplurile în care gravitatea intră cu valoarea 1 (linia 1 a matricei </w:t>
      </w:r>
      <w:r>
        <w:rPr>
          <w:rFonts w:eastAsia="Arial" w:cs="Arial" w:ascii="Arial" w:hAnsi="Arial"/>
          <w:iCs/>
          <w:color w:val="auto"/>
          <w:spacing w:val="0"/>
          <w:w w:val="100"/>
          <w:sz w:val="20"/>
          <w:szCs w:val="20"/>
          <w:lang w:val="ro-RO"/>
        </w:rPr>
        <w:t>M</w:t>
      </w:r>
      <w:r>
        <w:rPr>
          <w:rFonts w:eastAsia="Arial" w:cs="Arial" w:ascii="Arial" w:hAnsi="Arial"/>
          <w:iCs/>
          <w:color w:val="auto"/>
          <w:spacing w:val="0"/>
          <w:w w:val="100"/>
          <w:sz w:val="20"/>
          <w:szCs w:val="20"/>
          <w:vertAlign w:val="subscript"/>
          <w:lang w:val="ro-RO"/>
        </w:rPr>
        <w:t>g, p</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Într-adevăr, toți factorii de risc a căror consecință posibilă este incapacitate de muncă mai mică de 3 zile pot fi considerați ca fiind de nivel minim de risc acceptabil, evenimentele produse neconstituind subiect al prevenirii (nu sunt accidente de muncă; de regulă, sunt tratate ca incidente și eliminarea lor face obiectul acțiunii de mărire a confortului în muncă, nu a securității). Cuplul limită este cel în care gravitatea are valoarea 1 și probabilitatea valoarea 6.</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Trasăm prin cele două puncte astfel stabilite o curbă având alura curbei de acceptabilitate stabilită prin CEN-812/85 (figura 1.5 a).</w:t>
      </w:r>
    </w:p>
    <w:p>
      <w:pPr>
        <w:pStyle w:val="Normal"/>
        <w:widowControl/>
        <w:tabs>
          <w:tab w:val="left" w:pos="720" w:leader="none"/>
          <w:tab w:val="left" w:pos="900" w:leader="none"/>
          <w:tab w:val="left" w:pos="1710" w:leader="none"/>
          <w:tab w:val="left" w:pos="3600" w:leader="none"/>
          <w:tab w:val="left" w:pos="4320" w:leader="none"/>
          <w:tab w:val="left" w:pos="4500" w:leader="none"/>
        </w:tabs>
        <w:spacing w:lineRule="auto" w:line="360" w:before="0" w:after="0"/>
        <w:ind w:hanging="0"/>
        <w:jc w:val="left"/>
        <w:rPr>
          <w:rFonts w:ascii="Arial" w:hAnsi="Arial" w:cs="Arial"/>
          <w:sz w:val="18"/>
          <w:szCs w:val="18"/>
        </w:rPr>
      </w:pPr>
      <w:r>
        <w:rPr>
          <w:rFonts w:eastAsia="Arial" w:cs="Arial" w:ascii="Arial" w:hAnsi="Arial"/>
          <w:color w:val="auto"/>
          <w:spacing w:val="0"/>
          <w:w w:val="100"/>
          <w:sz w:val="2"/>
          <w:szCs w:val="20"/>
          <w:lang w:val="ro-RO"/>
        </w:rPr>
        <w:drawing>
          <wp:inline distT="0" distB="0" distL="0" distR="0">
            <wp:extent cx="2217420" cy="1889760"/>
            <wp:effectExtent l="0" t="0" r="0" b="0"/>
            <wp:docPr id="5" name="Picture 9" descr="crina-fig15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9" descr="crina-fig15a"/>
                    <pic:cNvPicPr>
                      <a:picLocks noChangeAspect="1" noChangeArrowheads="1"/>
                    </pic:cNvPicPr>
                  </pic:nvPicPr>
                  <pic:blipFill>
                    <a:blip r:embed="rId10">
                      <a:biLevel thresh="50000"/>
                    </a:blip>
                    <a:stretch>
                      <a:fillRect/>
                    </a:stretch>
                  </pic:blipFill>
                  <pic:spPr bwMode="auto">
                    <a:xfrm>
                      <a:off x="0" y="0"/>
                      <a:ext cx="2217420" cy="1889760"/>
                    </a:xfrm>
                    <a:prstGeom prst="rect">
                      <a:avLst/>
                    </a:prstGeom>
                    <a:noFill/>
                  </pic:spPr>
                </pic:pic>
              </a:graphicData>
            </a:graphic>
          </wp:inline>
        </w:drawing>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Fig. 1.5. a. Trasarea curbelor nivelurilor de risc. Stabilirea punctelor prin care se trasează curbele de nivel; curba de nivel 1 (risc minim acceptabil)</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Suprafața care este delimitată de laturile dreptunghiului și de curba trasată va reprezenta grafic nivelul 1 de risc. Toți factorii de risc ce pot fi caracterizați prin cupluri ale căror coordonate generează puncte situate în interiorul suprafeței astfel delimitate sau pe curbă vor fi considerați de nivel 1 de risc, respectiv 7 de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Din reprezentarea grafică (figura 1.5 a), rezultă că din matricea </w:t>
      </w:r>
      <w:r>
        <w:rPr>
          <w:rFonts w:eastAsia="Arial" w:cs="Arial" w:ascii="Arial" w:hAnsi="Arial"/>
          <w:iCs/>
          <w:color w:val="auto"/>
          <w:spacing w:val="0"/>
          <w:w w:val="100"/>
          <w:sz w:val="20"/>
          <w:szCs w:val="20"/>
          <w:lang w:val="ro-RO"/>
        </w:rPr>
        <w:t>M</w:t>
      </w:r>
      <w:r>
        <w:rPr>
          <w:rFonts w:eastAsia="Arial" w:cs="Arial" w:ascii="Arial" w:hAnsi="Arial"/>
          <w:iCs/>
          <w:color w:val="auto"/>
          <w:spacing w:val="0"/>
          <w:w w:val="100"/>
          <w:sz w:val="20"/>
          <w:szCs w:val="20"/>
          <w:vertAlign w:val="subscript"/>
          <w:lang w:val="ro-RO"/>
        </w:rPr>
        <w:t>g, p</w:t>
      </w:r>
      <w:r>
        <w:rPr>
          <w:rFonts w:eastAsia="Arial" w:cs="Arial" w:ascii="Arial" w:hAnsi="Arial"/>
          <w:color w:val="auto"/>
          <w:spacing w:val="0"/>
          <w:w w:val="100"/>
          <w:sz w:val="20"/>
          <w:szCs w:val="20"/>
          <w:lang w:val="ro-RO"/>
        </w:rPr>
        <w:t>, nivelului 1 de risc îi corespunde submatricea:</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r>
      <m:oMath xmlns:m="http://schemas.openxmlformats.org/officeDocument/2006/math">
        <m:sSub>
          <m:e>
            <m:limLow>
              <m:e>
                <m:limUpp>
                  <m:e>
                    <m:r>
                      <w:rPr>
                        <w:rFonts w:ascii="Cambria Math" w:hAnsi="Cambria Math"/>
                      </w:rPr>
                      <m:t xml:space="preserve">M</m:t>
                    </m:r>
                  </m:e>
                  <m:lim>
                    <m:r>
                      <w:rPr>
                        <w:rFonts w:ascii="Cambria Math" w:hAnsi="Cambria Math"/>
                      </w:rPr>
                      <m:t xml:space="preserve">6</m:t>
                    </m:r>
                  </m:lim>
                </m:limUpp>
              </m:e>
              <m:lim/>
            </m:limLow>
          </m:e>
          <m:sub>
            <m:r>
              <m:rPr>
                <m:lit/>
                <m:nor/>
              </m:rPr>
              <w:rPr>
                <w:rFonts w:ascii="Cambria Math" w:hAnsi="Cambria Math"/>
              </w:rPr>
              <m:t xml:space="preserve">1,p</m:t>
            </m:r>
          </m:sub>
        </m:sSub>
      </m:oMath>
      <w:r>
        <w:rPr>
          <w:rFonts w:eastAsia="Arial" w:cs="Arial" w:ascii="Arial" w:hAnsi="Arial"/>
          <w:color w:val="auto"/>
          <w:spacing w:val="0"/>
          <w:w w:val="100"/>
          <w:sz w:val="20"/>
          <w:szCs w:val="20"/>
          <w:vertAlign w:val="subscript"/>
          <w:lang w:val="ro-RO"/>
        </w:rPr>
        <w:t xml:space="preserve">= </w:t>
      </w:r>
      <w:r>
        <w:rPr>
          <w:rFonts w:eastAsia="Arial" w:cs="Arial" w:ascii="Arial" w:hAnsi="Arial"/>
          <w:color w:val="auto"/>
          <w:spacing w:val="0"/>
          <w:w w:val="100"/>
          <w:sz w:val="20"/>
          <w:szCs w:val="20"/>
          <w:lang w:val="ro-RO"/>
        </w:rPr>
      </w:r>
      <m:oMath xmlns:m="http://schemas.openxmlformats.org/officeDocument/2006/math">
        <m:d>
          <m:dPr>
            <m:begChr m:val="‖"/>
            <m:endChr m:val="‖"/>
          </m:dPr>
          <m:e>
            <m:m>
              <m:mr>
                <m:e>
                  <m:r>
                    <w:rPr>
                      <w:rFonts w:ascii="Cambria Math" w:hAnsi="Cambria Math"/>
                    </w:rPr>
                    <m:t xml:space="preserve">(</m:t>
                  </m:r>
                  <m:r>
                    <w:rPr>
                      <w:rFonts w:ascii="Cambria Math" w:hAnsi="Cambria Math"/>
                    </w:rPr>
                    <m:t xml:space="preserve">1,1</m:t>
                  </m:r>
                  <m:r>
                    <w:rPr>
                      <w:rFonts w:ascii="Cambria Math" w:hAnsi="Cambria Math"/>
                    </w:rPr>
                    <m:t xml:space="preserve">)</m:t>
                  </m:r>
                </m:e>
                <m:e>
                  <m:r>
                    <w:rPr>
                      <w:rFonts w:ascii="Cambria Math" w:hAnsi="Cambria Math"/>
                    </w:rPr>
                    <m:t xml:space="preserve">(</m:t>
                  </m:r>
                  <m:r>
                    <w:rPr>
                      <w:rFonts w:ascii="Cambria Math" w:hAnsi="Cambria Math"/>
                    </w:rPr>
                    <m:t xml:space="preserve">1,2</m:t>
                  </m:r>
                  <m:r>
                    <w:rPr>
                      <w:rFonts w:ascii="Cambria Math" w:hAnsi="Cambria Math"/>
                    </w:rPr>
                    <m:t xml:space="preserve">)</m:t>
                  </m:r>
                </m:e>
                <m:e>
                  <m:r>
                    <w:rPr>
                      <w:rFonts w:ascii="Cambria Math" w:hAnsi="Cambria Math"/>
                    </w:rPr>
                    <m:t xml:space="preserve">(</m:t>
                  </m:r>
                  <m:r>
                    <w:rPr>
                      <w:rFonts w:ascii="Cambria Math" w:hAnsi="Cambria Math"/>
                    </w:rPr>
                    <m:t xml:space="preserve">1,3</m:t>
                  </m:r>
                  <m:r>
                    <w:rPr>
                      <w:rFonts w:ascii="Cambria Math" w:hAnsi="Cambria Math"/>
                    </w:rPr>
                    <m:t xml:space="preserve">)</m:t>
                  </m:r>
                </m:e>
                <m:e>
                  <m:r>
                    <w:rPr>
                      <w:rFonts w:ascii="Cambria Math" w:hAnsi="Cambria Math"/>
                    </w:rPr>
                    <m:t xml:space="preserve">(</m:t>
                  </m:r>
                  <m:r>
                    <w:rPr>
                      <w:rFonts w:ascii="Cambria Math" w:hAnsi="Cambria Math"/>
                    </w:rPr>
                    <m:t xml:space="preserve">1,4</m:t>
                  </m:r>
                  <m:r>
                    <w:rPr>
                      <w:rFonts w:ascii="Cambria Math" w:hAnsi="Cambria Math"/>
                    </w:rPr>
                    <m:t xml:space="preserve">)</m:t>
                  </m:r>
                </m:e>
                <m:e>
                  <m:r>
                    <w:rPr>
                      <w:rFonts w:ascii="Cambria Math" w:hAnsi="Cambria Math"/>
                    </w:rPr>
                    <m:t xml:space="preserve">(</m:t>
                  </m:r>
                  <m:r>
                    <w:rPr>
                      <w:rFonts w:ascii="Cambria Math" w:hAnsi="Cambria Math"/>
                    </w:rPr>
                    <m:t xml:space="preserve">1,5</m:t>
                  </m:r>
                  <m:r>
                    <w:rPr>
                      <w:rFonts w:ascii="Cambria Math" w:hAnsi="Cambria Math"/>
                    </w:rPr>
                    <m:t xml:space="preserve">)</m:t>
                  </m:r>
                </m:e>
                <m:e>
                  <m:r>
                    <w:rPr>
                      <w:rFonts w:ascii="Cambria Math" w:hAnsi="Cambria Math"/>
                    </w:rPr>
                    <m:t xml:space="preserve">(</m:t>
                  </m:r>
                  <m:r>
                    <w:rPr>
                      <w:rFonts w:ascii="Cambria Math" w:hAnsi="Cambria Math"/>
                    </w:rPr>
                    <m:t xml:space="preserve">1,6</m:t>
                  </m:r>
                  <m:r>
                    <w:rPr>
                      <w:rFonts w:ascii="Cambria Math" w:hAnsi="Cambria Math"/>
                    </w:rPr>
                    <m:t xml:space="preserve">)</m:t>
                  </m:r>
                </m:e>
              </m:mr>
            </m:m>
          </m:e>
        </m:d>
      </m:oMath>
      <w:r>
        <w:rPr>
          <w:rFonts w:eastAsia="Arial" w:cs="Arial" w:ascii="Arial" w:hAnsi="Arial"/>
          <w:color w:val="auto"/>
          <w:spacing w:val="0"/>
          <w:w w:val="100"/>
          <w:sz w:val="20"/>
          <w:szCs w:val="20"/>
          <w:lang w:val="ro-RO"/>
        </w:rPr>
        <w:t xml:space="preserve"> și elementul (2,1).</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Nivelul 2 – 7</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Trasăm curbele pentru nivelurile 2 - 6 paralel la curba de nivel de risc minim acceptabil prin punctele care delimitează segmentele stabilite pe diagonala dreptunghiului mulțimii nivelurilor de risc (figura 1.5 b).</w:t>
      </w:r>
    </w:p>
    <w:p>
      <w:pPr>
        <w:pStyle w:val="Normal"/>
        <w:widowControl/>
        <w:tabs>
          <w:tab w:val="left" w:pos="720" w:leader="none"/>
          <w:tab w:val="left" w:pos="900" w:leader="none"/>
          <w:tab w:val="left" w:pos="1710" w:leader="none"/>
        </w:tabs>
        <w:spacing w:lineRule="auto" w:line="360" w:before="0" w:after="0"/>
        <w:ind w:hanging="0"/>
        <w:jc w:val="left"/>
        <w:rPr>
          <w:rFonts w:ascii="Arial" w:hAnsi="Arial" w:cs="Arial"/>
          <w:sz w:val="18"/>
          <w:szCs w:val="18"/>
        </w:rPr>
      </w:pPr>
      <w:r>
        <w:rPr>
          <w:rFonts w:eastAsia="Arial" w:cs="Arial" w:ascii="Arial" w:hAnsi="Arial"/>
          <w:color w:val="auto"/>
          <w:spacing w:val="0"/>
          <w:w w:val="100"/>
          <w:sz w:val="2"/>
          <w:szCs w:val="20"/>
          <w:lang w:val="ro-RO"/>
        </w:rPr>
        <w:drawing>
          <wp:inline distT="0" distB="0" distL="0" distR="0">
            <wp:extent cx="2118360" cy="1874520"/>
            <wp:effectExtent l="0" t="0" r="0" b="0"/>
            <wp:docPr id="6" name="Picture 12" descr="crina-fig15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2" descr="crina-fig15b"/>
                    <pic:cNvPicPr>
                      <a:picLocks noChangeAspect="1" noChangeArrowheads="1"/>
                    </pic:cNvPicPr>
                  </pic:nvPicPr>
                  <pic:blipFill>
                    <a:blip r:embed="rId11">
                      <a:biLevel thresh="50000"/>
                    </a:blip>
                    <a:stretch>
                      <a:fillRect/>
                    </a:stretch>
                  </pic:blipFill>
                  <pic:spPr bwMode="auto">
                    <a:xfrm>
                      <a:off x="0" y="0"/>
                      <a:ext cx="2118360" cy="1874520"/>
                    </a:xfrm>
                    <a:prstGeom prst="rect">
                      <a:avLst/>
                    </a:prstGeom>
                    <a:noFill/>
                  </pic:spPr>
                </pic:pic>
              </a:graphicData>
            </a:graphic>
          </wp:inline>
        </w:drawing>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Fig. 1.5. b. Trasarea curbelor nivelurilor de risc. Trasarea curbelor pentru nivelurile 2 – 7; Nivel de risc maxim acceptabil și critic.</w:t>
      </w:r>
    </w:p>
    <w:p>
      <w:pPr>
        <w:pStyle w:val="Normal"/>
        <w:widowControl/>
        <w:tabs>
          <w:tab w:val="left" w:pos="720" w:leader="none"/>
          <w:tab w:val="left" w:pos="900" w:leader="none"/>
          <w:tab w:val="left" w:pos="1710" w:leader="none"/>
          <w:tab w:val="left" w:pos="3600" w:leader="none"/>
          <w:tab w:val="left" w:pos="378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1</w:t>
      </w:r>
      <w:r>
        <w:rPr>
          <w:rFonts w:eastAsia="Arial" w:cs="Arial" w:ascii="Arial" w:hAnsi="Arial"/>
          <w:color w:val="auto"/>
          <w:spacing w:val="0"/>
          <w:w w:val="100"/>
          <w:sz w:val="20"/>
          <w:szCs w:val="20"/>
          <w:lang w:val="ro-RO"/>
        </w:rPr>
        <w:t xml:space="preserve"> – cuplurile g-p: (1,1) (1,2) (1,3) (1,4) (1,5) (1,6) (2,1);</w:t>
      </w:r>
    </w:p>
    <w:p>
      <w:pPr>
        <w:pStyle w:val="Normal"/>
        <w:widowControl/>
        <w:tabs>
          <w:tab w:val="left" w:pos="720" w:leader="none"/>
          <w:tab w:val="left" w:pos="900" w:leader="none"/>
          <w:tab w:val="left" w:pos="1710" w:leader="none"/>
          <w:tab w:val="left" w:pos="3600" w:leader="none"/>
          <w:tab w:val="left" w:pos="3780" w:leader="none"/>
          <w:tab w:val="left" w:pos="6480" w:leader="none"/>
          <w:tab w:val="left" w:pos="666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2</w:t>
      </w:r>
      <w:r>
        <w:rPr>
          <w:rFonts w:eastAsia="Arial" w:cs="Arial" w:ascii="Arial" w:hAnsi="Arial"/>
          <w:color w:val="auto"/>
          <w:spacing w:val="0"/>
          <w:w w:val="100"/>
          <w:sz w:val="20"/>
          <w:szCs w:val="20"/>
          <w:lang w:val="ro-RO"/>
        </w:rPr>
        <w:t xml:space="preserve"> – cuplurile g-p: (2,2) (2,3) (2,4) (3,1) (3,2) (4,1);</w:t>
      </w:r>
    </w:p>
    <w:p>
      <w:pPr>
        <w:pStyle w:val="Normal"/>
        <w:widowControl/>
        <w:tabs>
          <w:tab w:val="left" w:pos="720" w:leader="none"/>
          <w:tab w:val="left" w:pos="900" w:leader="none"/>
          <w:tab w:val="left" w:pos="1710" w:leader="none"/>
          <w:tab w:val="left" w:pos="3600" w:leader="none"/>
          <w:tab w:val="left" w:pos="3780" w:leader="none"/>
          <w:tab w:val="left" w:pos="6480" w:leader="none"/>
          <w:tab w:val="left" w:pos="666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3</w:t>
      </w:r>
      <w:r>
        <w:rPr>
          <w:rFonts w:eastAsia="Arial" w:cs="Arial" w:ascii="Arial" w:hAnsi="Arial"/>
          <w:color w:val="auto"/>
          <w:spacing w:val="0"/>
          <w:w w:val="100"/>
          <w:sz w:val="20"/>
          <w:szCs w:val="20"/>
          <w:lang w:val="ro-RO"/>
        </w:rPr>
        <w:t xml:space="preserve"> – cuplurile g-p: (2,5) (2,6) (3,3) (3,4) (4,2) (5,1) (6,1) (7,1);</w:t>
      </w:r>
    </w:p>
    <w:p>
      <w:pPr>
        <w:pStyle w:val="Normal"/>
        <w:widowControl/>
        <w:tabs>
          <w:tab w:val="left" w:pos="720" w:leader="none"/>
          <w:tab w:val="left" w:pos="900" w:leader="none"/>
          <w:tab w:val="left" w:pos="1710" w:leader="none"/>
          <w:tab w:val="left" w:pos="3600" w:leader="none"/>
          <w:tab w:val="left" w:pos="3780" w:leader="none"/>
          <w:tab w:val="left" w:pos="6480" w:leader="none"/>
          <w:tab w:val="left" w:pos="666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4</w:t>
      </w:r>
      <w:r>
        <w:rPr>
          <w:rFonts w:eastAsia="Arial" w:cs="Arial" w:ascii="Arial" w:hAnsi="Arial"/>
          <w:color w:val="auto"/>
          <w:spacing w:val="0"/>
          <w:w w:val="100"/>
          <w:sz w:val="20"/>
          <w:szCs w:val="20"/>
          <w:lang w:val="ro-RO"/>
        </w:rPr>
        <w:t xml:space="preserve"> – cuplurile g-p: (3,5) (3,6) (4,3) (4,4) (5,2) (5,3) (6,2) (7,2);</w:t>
      </w:r>
    </w:p>
    <w:p>
      <w:pPr>
        <w:pStyle w:val="Normal"/>
        <w:widowControl/>
        <w:tabs>
          <w:tab w:val="left" w:pos="720" w:leader="none"/>
          <w:tab w:val="left" w:pos="900" w:leader="none"/>
          <w:tab w:val="left" w:pos="1710" w:leader="none"/>
          <w:tab w:val="left" w:pos="3600" w:leader="none"/>
          <w:tab w:val="left" w:pos="3780" w:leader="none"/>
          <w:tab w:val="left" w:pos="6480" w:leader="none"/>
          <w:tab w:val="left" w:pos="666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5</w:t>
      </w:r>
      <w:r>
        <w:rPr>
          <w:rFonts w:eastAsia="Arial" w:cs="Arial" w:ascii="Arial" w:hAnsi="Arial"/>
          <w:color w:val="auto"/>
          <w:spacing w:val="0"/>
          <w:w w:val="100"/>
          <w:sz w:val="20"/>
          <w:szCs w:val="20"/>
          <w:lang w:val="ro-RO"/>
        </w:rPr>
        <w:t xml:space="preserve"> – cuplurile g-p: (4,5) (4,6) (5,4) (5,5) (6,3) (7,3);</w:t>
      </w:r>
    </w:p>
    <w:p>
      <w:pPr>
        <w:pStyle w:val="Normal"/>
        <w:widowControl/>
        <w:tabs>
          <w:tab w:val="left" w:pos="720" w:leader="none"/>
          <w:tab w:val="left" w:pos="900" w:leader="none"/>
          <w:tab w:val="left" w:pos="1710" w:leader="none"/>
          <w:tab w:val="left" w:pos="3600" w:leader="none"/>
          <w:tab w:val="left" w:pos="378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6</w:t>
      </w:r>
      <w:r>
        <w:rPr>
          <w:rFonts w:eastAsia="Arial" w:cs="Arial" w:ascii="Arial" w:hAnsi="Arial"/>
          <w:color w:val="auto"/>
          <w:spacing w:val="0"/>
          <w:w w:val="100"/>
          <w:sz w:val="20"/>
          <w:szCs w:val="20"/>
          <w:lang w:val="ro-RO"/>
        </w:rPr>
        <w:t xml:space="preserve"> – cuplurile g-p: (5,6) (6,4) (6,5) (7,4);</w:t>
      </w:r>
    </w:p>
    <w:p>
      <w:pPr>
        <w:pStyle w:val="Normal"/>
        <w:widowControl/>
        <w:tabs>
          <w:tab w:val="left" w:pos="720" w:leader="none"/>
          <w:tab w:val="left" w:pos="900" w:leader="none"/>
          <w:tab w:val="left" w:pos="1710" w:leader="none"/>
          <w:tab w:val="left" w:pos="3600" w:leader="none"/>
          <w:tab w:val="left" w:pos="378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7</w:t>
      </w:r>
      <w:r>
        <w:rPr>
          <w:rFonts w:eastAsia="Arial" w:cs="Arial" w:ascii="Arial" w:hAnsi="Arial"/>
          <w:color w:val="auto"/>
          <w:spacing w:val="0"/>
          <w:w w:val="100"/>
          <w:sz w:val="20"/>
          <w:szCs w:val="20"/>
          <w:lang w:val="ro-RO"/>
        </w:rPr>
        <w:t xml:space="preserve"> – cuplurile g-p: (6,6) (7,5) (7,6).</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Ca și mai sus, secțiunea delimitată de curba nivelului 1 și de curba imediat superioară va reprezenta grafic nivelul 2; tuturor factorilor de risc pentru care cuplurile gravitate – probabilitate generează puncte situate în interiorul acestei suprafețe sau pe limita sa superioară li se alocă nivelul 2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Similar se atribuie nivelurile 3, 4, ..., 6.</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Suprafaței delimitate de curba nivelului 6 și de cele două laturi superioare ale dreptunghiului i se alocă nivelul 7.</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Interpretând reprezentarea din figura 1.5 b rezultă că fiecărui nivel de risc îi corespunde cel puțin o submatrice din matricea </w:t>
      </w:r>
      <w:r>
        <w:rPr>
          <w:rFonts w:eastAsia="Arial" w:cs="Arial" w:ascii="Arial" w:hAnsi="Arial"/>
          <w:iCs/>
          <w:color w:val="auto"/>
          <w:spacing w:val="0"/>
          <w:w w:val="100"/>
          <w:sz w:val="20"/>
          <w:szCs w:val="20"/>
          <w:lang w:val="ro-RO"/>
        </w:rPr>
        <w:t>M</w:t>
      </w:r>
      <w:r>
        <w:rPr>
          <w:rFonts w:eastAsia="Arial" w:cs="Arial" w:ascii="Arial" w:hAnsi="Arial"/>
          <w:iCs/>
          <w:color w:val="auto"/>
          <w:spacing w:val="0"/>
          <w:w w:val="100"/>
          <w:sz w:val="20"/>
          <w:szCs w:val="20"/>
          <w:vertAlign w:val="subscript"/>
          <w:lang w:val="ro-RO"/>
        </w:rPr>
        <w:t>g, p</w:t>
      </w:r>
      <w:r>
        <w:rPr>
          <w:rFonts w:eastAsia="Arial" w:cs="Arial" w:ascii="Arial" w:hAnsi="Arial"/>
          <w:color w:val="auto"/>
          <w:spacing w:val="0"/>
          <w:w w:val="100"/>
          <w:sz w:val="20"/>
          <w:szCs w:val="20"/>
          <w:lang w:val="ro-RO"/>
        </w:rPr>
        <w:t>:</w:t>
      </w:r>
    </w:p>
    <w:p>
      <w:pPr>
        <w:pStyle w:val="Normal"/>
        <w:widowControl/>
        <w:tabs>
          <w:tab w:val="left" w:pos="720" w:leader="none"/>
          <w:tab w:val="left" w:pos="900" w:leader="none"/>
          <w:tab w:val="left" w:pos="1710" w:leader="none"/>
          <w:tab w:val="left" w:pos="3600" w:leader="none"/>
          <w:tab w:val="left" w:pos="4320" w:leader="none"/>
          <w:tab w:val="left" w:pos="450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 nivelul 2: </w:t>
      </w:r>
      <w:r>
        <w:rPr>
          <w:rFonts w:eastAsia="Arial" w:cs="Arial" w:ascii="Arial" w:hAnsi="Arial"/>
          <w:color w:val="auto"/>
          <w:spacing w:val="0"/>
          <w:w w:val="100"/>
          <w:sz w:val="20"/>
          <w:szCs w:val="20"/>
          <w:lang w:val="ro-RO"/>
        </w:rPr>
      </w:r>
      <m:oMath xmlns:m="http://schemas.openxmlformats.org/officeDocument/2006/math">
        <m:eqArr>
          <m:e>
            <m:d>
              <m:dPr>
                <m:begChr m:val="{"/>
                <m:endChr m:val=""/>
              </m:dPr>
              <m:e>
                <m:sSub>
                  <m:e>
                    <m:limLow>
                      <m:e>
                        <m:limUpp>
                          <m:e>
                            <m:r>
                              <w:rPr>
                                <w:rFonts w:ascii="Cambria Math" w:hAnsi="Cambria Math"/>
                              </w:rPr>
                              <m:t xml:space="preserve">M</m:t>
                            </m:r>
                          </m:e>
                          <m:lim>
                            <m:r>
                              <w:rPr>
                                <w:rFonts w:ascii="Cambria Math" w:hAnsi="Cambria Math"/>
                              </w:rPr>
                              <m:t xml:space="preserve">4</m:t>
                            </m:r>
                          </m:lim>
                        </m:limUpp>
                      </m:e>
                      <m:lim>
                        <m:r>
                          <w:rPr>
                            <w:rFonts w:ascii="Cambria Math" w:hAnsi="Cambria Math"/>
                          </w:rPr>
                          <m:t xml:space="preserve">p</m:t>
                        </m:r>
                        <m:r>
                          <w:rPr>
                            <w:rFonts w:ascii="Cambria Math" w:hAnsi="Cambria Math"/>
                          </w:rPr>
                          <m:t xml:space="preserve">=</m:t>
                        </m:r>
                        <m:r>
                          <w:rPr>
                            <w:rFonts w:ascii="Cambria Math" w:hAnsi="Cambria Math"/>
                          </w:rPr>
                          <m:t xml:space="preserve">2</m:t>
                        </m:r>
                      </m:lim>
                    </m:limLow>
                  </m:e>
                  <m:sub>
                    <m:r>
                      <m:rPr>
                        <m:lit/>
                        <m:nor/>
                      </m:rPr>
                      <w:rPr>
                        <w:rFonts w:ascii="Cambria Math" w:hAnsi="Cambria Math"/>
                      </w:rPr>
                      <m:t xml:space="preserve">2,p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2,2</m:t>
                          </m:r>
                          <m:r>
                            <w:rPr>
                              <w:rFonts w:ascii="Cambria Math" w:hAnsi="Cambria Math"/>
                            </w:rPr>
                            <m:t xml:space="preserve">)</m:t>
                          </m:r>
                        </m:e>
                        <m:e>
                          <m:r>
                            <w:rPr>
                              <w:rFonts w:ascii="Cambria Math" w:hAnsi="Cambria Math"/>
                            </w:rPr>
                            <m:t xml:space="preserve">(</m:t>
                          </m:r>
                          <m:r>
                            <m:rPr>
                              <m:lit/>
                              <m:nor/>
                            </m:rPr>
                            <w:rPr>
                              <w:rFonts w:ascii="Cambria Math" w:hAnsi="Cambria Math"/>
                            </w:rPr>
                            <m:t xml:space="preserve">2,3</m:t>
                          </m:r>
                          <m:r>
                            <w:rPr>
                              <w:rFonts w:ascii="Cambria Math" w:hAnsi="Cambria Math"/>
                            </w:rPr>
                            <m:t xml:space="preserve">)</m:t>
                          </m:r>
                        </m:e>
                        <m:e>
                          <m:r>
                            <w:rPr>
                              <w:rFonts w:ascii="Cambria Math" w:hAnsi="Cambria Math"/>
                            </w:rPr>
                            <m:t xml:space="preserve">(</m:t>
                          </m:r>
                          <m:r>
                            <m:rPr>
                              <m:lit/>
                              <m:nor/>
                            </m:rPr>
                            <w:rPr>
                              <w:rFonts w:ascii="Cambria Math" w:hAnsi="Cambria Math"/>
                            </w:rPr>
                            <m:t xml:space="preserve">2,4</m:t>
                          </m:r>
                          <m:r>
                            <w:rPr>
                              <w:rFonts w:ascii="Cambria Math" w:hAnsi="Cambria Math"/>
                            </w:rPr>
                            <m:t xml:space="preserve">)</m:t>
                          </m:r>
                        </m:e>
                      </m:mr>
                    </m:m>
                  </m:e>
                </m:d>
              </m:e>
            </m:d>
          </m:e>
        </m:eqArr>
      </m:oMath>
      <w:r>
        <w:rPr>
          <w:rFonts w:eastAsia="Arial" w:cs="Arial" w:ascii="Arial" w:hAnsi="Arial"/>
          <w:color w:val="auto"/>
          <w:spacing w:val="0"/>
          <w:w w:val="100"/>
          <w:sz w:val="20"/>
          <w:szCs w:val="20"/>
          <w:lang w:val="ro-RO"/>
        </w:rPr>
        <w:t xml:space="preserve"> și elementul (4,1);</w:t>
      </w:r>
    </w:p>
    <w:p>
      <w:pPr>
        <w:pStyle w:val="Normal"/>
        <w:widowControl/>
        <w:tabs>
          <w:tab w:val="left" w:pos="720" w:leader="none"/>
          <w:tab w:val="left" w:pos="900" w:leader="none"/>
          <w:tab w:val="left" w:pos="1710" w:leader="none"/>
          <w:tab w:val="left" w:pos="3600" w:leader="none"/>
          <w:tab w:val="left" w:pos="4320" w:leader="none"/>
          <w:tab w:val="left" w:pos="450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 nivelul 3: </w:t>
      </w:r>
      <w:r>
        <w:rPr>
          <w:rFonts w:eastAsia="Arial" w:cs="Arial" w:ascii="Arial" w:hAnsi="Arial"/>
          <w:color w:val="auto"/>
          <w:spacing w:val="0"/>
          <w:w w:val="100"/>
          <w:sz w:val="20"/>
          <w:szCs w:val="20"/>
          <w:lang w:val="ro-RO"/>
        </w:rPr>
      </w:r>
      <m:oMath xmlns:m="http://schemas.openxmlformats.org/officeDocument/2006/math">
        <m:eqArr>
          <m:e>
            <m:d>
              <m:dPr>
                <m:begChr m:val="{"/>
                <m:endChr m:val=""/>
              </m:dPr>
              <m:e>
                <m:sSub>
                  <m:e>
                    <m:limLow>
                      <m:e>
                        <m:limUpp>
                          <m:e>
                            <m:r>
                              <w:rPr>
                                <w:rFonts w:ascii="Cambria Math" w:hAnsi="Cambria Math"/>
                              </w:rPr>
                              <m:t xml:space="preserve">M</m:t>
                            </m:r>
                          </m:e>
                          <m:lim>
                            <m:r>
                              <w:rPr>
                                <w:rFonts w:ascii="Cambria Math" w:hAnsi="Cambria Math"/>
                              </w:rPr>
                              <m:t xml:space="preserve">6</m:t>
                            </m:r>
                          </m:lim>
                        </m:limUpp>
                      </m:e>
                      <m:lim>
                        <m:r>
                          <w:rPr>
                            <w:rFonts w:ascii="Cambria Math" w:hAnsi="Cambria Math"/>
                          </w:rPr>
                          <m:t xml:space="preserve">p</m:t>
                        </m:r>
                        <m:r>
                          <w:rPr>
                            <w:rFonts w:ascii="Cambria Math" w:hAnsi="Cambria Math"/>
                          </w:rPr>
                          <m:t xml:space="preserve">=</m:t>
                        </m:r>
                        <m:r>
                          <w:rPr>
                            <w:rFonts w:ascii="Cambria Math" w:hAnsi="Cambria Math"/>
                          </w:rPr>
                          <m:t xml:space="preserve">5</m:t>
                        </m:r>
                      </m:lim>
                    </m:limLow>
                  </m:e>
                  <m:sub>
                    <m:r>
                      <m:rPr>
                        <m:lit/>
                        <m:nor/>
                      </m:rPr>
                      <w:rPr>
                        <w:rFonts w:ascii="Cambria Math" w:hAnsi="Cambria Math"/>
                      </w:rPr>
                      <m:t xml:space="preserve">2,p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2,5</m:t>
                          </m:r>
                          <m:r>
                            <w:rPr>
                              <w:rFonts w:ascii="Cambria Math" w:hAnsi="Cambria Math"/>
                            </w:rPr>
                            <m:t xml:space="preserve">)</m:t>
                          </m:r>
                        </m:e>
                        <m:e>
                          <m:r>
                            <w:rPr>
                              <w:rFonts w:ascii="Cambria Math" w:hAnsi="Cambria Math"/>
                            </w:rPr>
                            <m:t xml:space="preserve">(</m:t>
                          </m:r>
                          <m:r>
                            <m:rPr>
                              <m:lit/>
                              <m:nor/>
                            </m:rPr>
                            <w:rPr>
                              <w:rFonts w:ascii="Cambria Math" w:hAnsi="Cambria Math"/>
                            </w:rPr>
                            <m:t xml:space="preserve">2,6</m:t>
                          </m:r>
                          <m:r>
                            <w:rPr>
                              <w:rFonts w:ascii="Cambria Math" w:hAnsi="Cambria Math"/>
                            </w:rPr>
                            <m:t xml:space="preserve">)</m:t>
                          </m:r>
                        </m:e>
                      </m:mr>
                    </m:m>
                  </m:e>
                </m:d>
              </m:e>
            </m:d>
            <m:d>
              <m:dPr>
                <m:begChr m:val="{"/>
                <m:endChr m:val=""/>
              </m:dPr>
              <m:e>
                <m:sSub>
                  <m:e>
                    <m:limLow>
                      <m:e>
                        <m:limUpp>
                          <m:e>
                            <m:r>
                              <w:rPr>
                                <w:rFonts w:ascii="Cambria Math" w:hAnsi="Cambria Math"/>
                              </w:rPr>
                              <m:t xml:space="preserve">M</m:t>
                            </m:r>
                          </m:e>
                          <m:lim>
                            <m:r>
                              <w:rPr>
                                <w:rFonts w:ascii="Cambria Math" w:hAnsi="Cambria Math"/>
                              </w:rPr>
                              <m:t xml:space="preserve">4</m:t>
                            </m:r>
                          </m:lim>
                        </m:limUpp>
                      </m:e>
                      <m:lim>
                        <m:r>
                          <w:rPr>
                            <w:rFonts w:ascii="Cambria Math" w:hAnsi="Cambria Math"/>
                          </w:rPr>
                          <m:t xml:space="preserve">p</m:t>
                        </m:r>
                        <m:r>
                          <w:rPr>
                            <w:rFonts w:ascii="Cambria Math" w:hAnsi="Cambria Math"/>
                          </w:rPr>
                          <m:t xml:space="preserve">=</m:t>
                        </m:r>
                        <m:r>
                          <w:rPr>
                            <w:rFonts w:ascii="Cambria Math" w:hAnsi="Cambria Math"/>
                          </w:rPr>
                          <m:t xml:space="preserve">3</m:t>
                        </m:r>
                      </m:lim>
                    </m:limLow>
                  </m:e>
                  <m:sub>
                    <m:r>
                      <m:rPr>
                        <m:lit/>
                        <m:nor/>
                      </m:rPr>
                      <w:rPr>
                        <w:rFonts w:ascii="Cambria Math" w:hAnsi="Cambria Math"/>
                      </w:rPr>
                      <m:t xml:space="preserve">3,p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3,3</m:t>
                          </m:r>
                          <m:r>
                            <w:rPr>
                              <w:rFonts w:ascii="Cambria Math" w:hAnsi="Cambria Math"/>
                            </w:rPr>
                            <m:t xml:space="preserve">)</m:t>
                          </m:r>
                        </m:e>
                        <m:e>
                          <m:r>
                            <w:rPr>
                              <w:rFonts w:ascii="Cambria Math" w:hAnsi="Cambria Math"/>
                            </w:rPr>
                            <m:t xml:space="preserve">(</m:t>
                          </m:r>
                          <m:r>
                            <m:rPr>
                              <m:lit/>
                              <m:nor/>
                            </m:rPr>
                            <w:rPr>
                              <w:rFonts w:ascii="Cambria Math" w:hAnsi="Cambria Math"/>
                            </w:rPr>
                            <m:t xml:space="preserve">3,4</m:t>
                          </m:r>
                          <m:r>
                            <w:rPr>
                              <w:rFonts w:ascii="Cambria Math" w:hAnsi="Cambria Math"/>
                            </w:rPr>
                            <m:t xml:space="preserve">)</m:t>
                          </m:r>
                        </m:e>
                      </m:mr>
                    </m:m>
                  </m:e>
                </m:d>
              </m:e>
            </m:d>
          </m:e>
        </m:eqArr>
      </m:oMath>
      <w:r>
        <w:rPr>
          <w:rFonts w:eastAsia="Arial" w:cs="Arial" w:ascii="Arial" w:hAnsi="Arial"/>
          <w:color w:val="auto"/>
          <w:spacing w:val="0"/>
          <w:w w:val="100"/>
          <w:sz w:val="20"/>
          <w:szCs w:val="20"/>
          <w:lang w:val="ro-RO"/>
        </w:rPr>
        <w:t xml:space="preserve"> și elementul (4,2);</w:t>
      </w:r>
    </w:p>
    <w:p>
      <w:pPr>
        <w:pStyle w:val="Normal"/>
        <w:keepNext w:val="tru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 nivelul 4:</w:t>
      </w:r>
    </w:p>
    <w:p>
      <w:pPr>
        <w:pStyle w:val="Normal"/>
        <w:keepNext w:val="false"/>
        <w:pageBreakBefore w:val="false"/>
        <w:widowControl/>
        <w:numPr>
          <w:ilvl w:val="0"/>
          <w:numId w:val="0"/>
        </w:numPr>
        <w:spacing w:before="0" w:after="120"/>
        <w:ind w:hanging="0" w:left="900"/>
        <w:jc w:val="left"/>
        <w:rPr>
          <w:rFonts w:ascii="Arial" w:hAnsi="Arial" w:cs="Arial"/>
          <w:sz w:val="20"/>
          <w:szCs w:val="20"/>
        </w:rPr>
      </w:pPr>
      <w:r>
        <w:rPr>
          <w:rFonts w:eastAsia="Arial" w:cs="Arial" w:ascii="Arial" w:hAnsi="Arial"/>
          <w:color w:val="auto"/>
          <w:spacing w:val="0"/>
          <w:w w:val="100"/>
          <w:sz w:val="20"/>
          <w:szCs w:val="20"/>
          <w:lang w:val="ro-RO"/>
        </w:rPr>
        <w:object>
          <v:shapetype id="_x0000_tole_rId12" coordsize="21600,21600" o:spt="12"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2" type="_x0000_tole_rId12" style="width:101pt;height:144pt;mso-wrap-distance-right:0pt" filled="f" o:ole="">
            <v:imagedata r:id="rId13" o:title=""/>
          </v:shape>
          <o:OLEObject Type="Embed" ProgID="Equation.2" ShapeID="ole_rId12" DrawAspect="Content" ObjectID="_1760537323" r:id="rId12"/>
        </w:object>
      </w:r>
      <w:r>
        <w:rPr>
          <w:rFonts w:eastAsia="Arial" w:cs="Arial" w:ascii="Arial" w:hAnsi="Arial"/>
          <w:b w:val="false"/>
          <w:color w:val="auto"/>
          <w:sz w:val="20"/>
          <w:szCs w:val="20"/>
          <w:lang w:val="ro-RO"/>
        </w:rPr>
        <w:t xml:space="preserve">;</w:t>
      </w:r>
    </w:p>
    <w:p>
      <w:pPr>
        <w:pStyle w:val="Normal"/>
        <w:widowControl/>
        <w:tabs>
          <w:tab w:val="left" w:pos="720" w:leader="none"/>
          <w:tab w:val="left" w:pos="900" w:leader="none"/>
          <w:tab w:val="left" w:pos="216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 nivelul 5: </w:t>
      </w:r>
      <w:r>
        <w:rPr>
          <w:rFonts w:eastAsia="Arial" w:cs="Arial" w:ascii="Arial" w:hAnsi="Arial"/>
          <w:color w:val="auto"/>
          <w:spacing w:val="0"/>
          <w:w w:val="100"/>
          <w:sz w:val="20"/>
          <w:szCs w:val="20"/>
          <w:lang w:val="ro-RO"/>
        </w:rPr>
      </w:r>
      <m:oMath xmlns:m="http://schemas.openxmlformats.org/officeDocument/2006/math">
        <m:eqArr>
          <m:e>
            <m:d>
              <m:dPr>
                <m:begChr m:val="{"/>
                <m:endChr m:val=""/>
              </m:dPr>
              <m:e>
                <m:sSub>
                  <m:e>
                    <m:limLow>
                      <m:e>
                        <m:limUpp>
                          <m:e>
                            <m:r>
                              <w:rPr>
                                <w:rFonts w:ascii="Cambria Math" w:hAnsi="Cambria Math"/>
                              </w:rPr>
                              <m:t xml:space="preserve">M</m:t>
                            </m:r>
                          </m:e>
                          <m:lim>
                            <m:r>
                              <w:rPr>
                                <w:rFonts w:ascii="Cambria Math" w:hAnsi="Cambria Math"/>
                              </w:rPr>
                              <m:t xml:space="preserve">6</m:t>
                            </m:r>
                          </m:lim>
                        </m:limUpp>
                      </m:e>
                      <m:lim>
                        <m:r>
                          <w:rPr>
                            <w:rFonts w:ascii="Cambria Math" w:hAnsi="Cambria Math"/>
                          </w:rPr>
                          <m:t xml:space="preserve">p</m:t>
                        </m:r>
                        <m:r>
                          <w:rPr>
                            <w:rFonts w:ascii="Cambria Math" w:hAnsi="Cambria Math"/>
                          </w:rPr>
                          <m:t xml:space="preserve">=</m:t>
                        </m:r>
                        <m:r>
                          <w:rPr>
                            <w:rFonts w:ascii="Cambria Math" w:hAnsi="Cambria Math"/>
                          </w:rPr>
                          <m:t xml:space="preserve">5</m:t>
                        </m:r>
                      </m:lim>
                    </m:limLow>
                  </m:e>
                  <m:sub>
                    <m:r>
                      <m:rPr>
                        <m:lit/>
                        <m:nor/>
                      </m:rPr>
                      <w:rPr>
                        <w:rFonts w:ascii="Cambria Math" w:hAnsi="Cambria Math"/>
                      </w:rPr>
                      <m:t xml:space="preserve">4,p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4,5</m:t>
                          </m:r>
                          <m:r>
                            <w:rPr>
                              <w:rFonts w:ascii="Cambria Math" w:hAnsi="Cambria Math"/>
                            </w:rPr>
                            <m:t xml:space="preserve">)</m:t>
                          </m:r>
                        </m:e>
                        <m:e>
                          <m:r>
                            <w:rPr>
                              <w:rFonts w:ascii="Cambria Math" w:hAnsi="Cambria Math"/>
                            </w:rPr>
                            <m:t xml:space="preserve">(</m:t>
                          </m:r>
                          <m:r>
                            <m:rPr>
                              <m:lit/>
                              <m:nor/>
                            </m:rPr>
                            <w:rPr>
                              <w:rFonts w:ascii="Cambria Math" w:hAnsi="Cambria Math"/>
                            </w:rPr>
                            <m:t xml:space="preserve">4,6</m:t>
                          </m:r>
                          <m:r>
                            <w:rPr>
                              <w:rFonts w:ascii="Cambria Math" w:hAnsi="Cambria Math"/>
                            </w:rPr>
                            <m:t xml:space="preserve">)</m:t>
                          </m:r>
                        </m:e>
                      </m:mr>
                    </m:m>
                  </m:e>
                </m:d>
              </m:e>
            </m:d>
            <m:d>
              <m:dPr>
                <m:begChr m:val="{"/>
                <m:endChr m:val=""/>
              </m:dPr>
              <m:e>
                <m:sSub>
                  <m:e>
                    <m:limLow>
                      <m:e>
                        <m:limUpp>
                          <m:e>
                            <m:r>
                              <w:rPr>
                                <w:rFonts w:ascii="Cambria Math" w:hAnsi="Cambria Math"/>
                              </w:rPr>
                              <m:t xml:space="preserve">M</m:t>
                            </m:r>
                          </m:e>
                          <m:lim>
                            <m:r>
                              <w:rPr>
                                <w:rFonts w:ascii="Cambria Math" w:hAnsi="Cambria Math"/>
                              </w:rPr>
                              <m:t xml:space="preserve">5</m:t>
                            </m:r>
                          </m:lim>
                        </m:limUpp>
                      </m:e>
                      <m:lim>
                        <m:r>
                          <w:rPr>
                            <w:rFonts w:ascii="Cambria Math" w:hAnsi="Cambria Math"/>
                          </w:rPr>
                          <m:t xml:space="preserve">p</m:t>
                        </m:r>
                        <m:r>
                          <w:rPr>
                            <w:rFonts w:ascii="Cambria Math" w:hAnsi="Cambria Math"/>
                          </w:rPr>
                          <m:t xml:space="preserve">=</m:t>
                        </m:r>
                        <m:r>
                          <w:rPr>
                            <w:rFonts w:ascii="Cambria Math" w:hAnsi="Cambria Math"/>
                          </w:rPr>
                          <m:t xml:space="preserve">4</m:t>
                        </m:r>
                      </m:lim>
                    </m:limLow>
                  </m:e>
                  <m:sub>
                    <m:r>
                      <m:rPr>
                        <m:lit/>
                        <m:nor/>
                      </m:rPr>
                      <w:rPr>
                        <w:rFonts w:ascii="Cambria Math" w:hAnsi="Cambria Math"/>
                      </w:rPr>
                      <m:t xml:space="preserve">5,p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5,4</m:t>
                          </m:r>
                          <m:r>
                            <w:rPr>
                              <w:rFonts w:ascii="Cambria Math" w:hAnsi="Cambria Math"/>
                            </w:rPr>
                            <m:t xml:space="preserve">)</m:t>
                          </m:r>
                        </m:e>
                        <m:e>
                          <m:r>
                            <w:rPr>
                              <w:rFonts w:ascii="Cambria Math" w:hAnsi="Cambria Math"/>
                            </w:rPr>
                            <m:t xml:space="preserve">(</m:t>
                          </m:r>
                          <m:r>
                            <m:rPr>
                              <m:lit/>
                              <m:nor/>
                            </m:rPr>
                            <w:rPr>
                              <w:rFonts w:ascii="Cambria Math" w:hAnsi="Cambria Math"/>
                            </w:rPr>
                            <m:t xml:space="preserve">5,5</m:t>
                          </m:r>
                          <m:r>
                            <w:rPr>
                              <w:rFonts w:ascii="Cambria Math" w:hAnsi="Cambria Math"/>
                            </w:rPr>
                            <m:t xml:space="preserve">)</m:t>
                          </m:r>
                        </m:e>
                      </m:mr>
                    </m:m>
                  </m:e>
                </m:d>
              </m:e>
            </m:d>
          </m:e>
        </m:eqArr>
      </m:oMath>
      <w:r>
        <w:rPr>
          <w:rFonts w:eastAsia="Arial" w:cs="Arial" w:ascii="Arial" w:hAnsi="Arial"/>
          <w:color w:val="auto"/>
          <w:spacing w:val="0"/>
          <w:w w:val="100"/>
          <w:sz w:val="20"/>
          <w:szCs w:val="20"/>
          <w:lang w:val="ro-RO"/>
        </w:rPr>
        <w:t>;</w:t>
      </w:r>
    </w:p>
    <w:p>
      <w:pPr>
        <w:pStyle w:val="Normal"/>
        <w:widowControl/>
        <w:tabs>
          <w:tab w:val="left" w:pos="720" w:leader="none"/>
          <w:tab w:val="left" w:pos="900" w:leader="none"/>
          <w:tab w:val="left" w:pos="216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 nivelul 6: </w:t>
      </w:r>
      <w:r>
        <w:rPr>
          <w:rFonts w:eastAsia="Arial" w:cs="Arial" w:ascii="Arial" w:hAnsi="Arial"/>
          <w:color w:val="auto"/>
          <w:spacing w:val="0"/>
          <w:w w:val="100"/>
          <w:sz w:val="20"/>
          <w:szCs w:val="20"/>
          <w:lang w:val="ro-RO"/>
        </w:rPr>
      </w:r>
      <m:oMath xmlns:m="http://schemas.openxmlformats.org/officeDocument/2006/math">
        <m:sSub>
          <m:e>
            <m:limLow>
              <m:e>
                <m:limUpp>
                  <m:e>
                    <m:r>
                      <w:rPr>
                        <w:rFonts w:ascii="Cambria Math" w:hAnsi="Cambria Math"/>
                      </w:rPr>
                      <m:t xml:space="preserve">M</m:t>
                    </m:r>
                  </m:e>
                  <m:lim>
                    <m:r>
                      <w:rPr>
                        <w:rFonts w:ascii="Cambria Math" w:hAnsi="Cambria Math"/>
                      </w:rPr>
                      <m:t xml:space="preserve">5</m:t>
                    </m:r>
                  </m:lim>
                </m:limUpp>
              </m:e>
              <m:lim>
                <m:r>
                  <w:rPr>
                    <w:rFonts w:ascii="Cambria Math" w:hAnsi="Cambria Math"/>
                  </w:rPr>
                  <m:t xml:space="preserve">p</m:t>
                </m:r>
                <m:r>
                  <w:rPr>
                    <w:rFonts w:ascii="Cambria Math" w:hAnsi="Cambria Math"/>
                  </w:rPr>
                  <m:t xml:space="preserve">=</m:t>
                </m:r>
                <m:r>
                  <w:rPr>
                    <w:rFonts w:ascii="Cambria Math" w:hAnsi="Cambria Math"/>
                  </w:rPr>
                  <m:t xml:space="preserve">4</m:t>
                </m:r>
              </m:lim>
            </m:limLow>
          </m:e>
          <m:sub>
            <m:r>
              <m:rPr>
                <m:lit/>
                <m:nor/>
              </m:rPr>
              <w:rPr>
                <w:rFonts w:ascii="Cambria Math" w:hAnsi="Cambria Math"/>
              </w:rPr>
              <m:t xml:space="preserve">6,p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6,4</m:t>
                  </m:r>
                  <m:r>
                    <w:rPr>
                      <w:rFonts w:ascii="Cambria Math" w:hAnsi="Cambria Math"/>
                    </w:rPr>
                    <m:t xml:space="preserve">)</m:t>
                  </m:r>
                </m:e>
                <m:e>
                  <m:r>
                    <w:rPr>
                      <w:rFonts w:ascii="Cambria Math" w:hAnsi="Cambria Math"/>
                    </w:rPr>
                    <m:t xml:space="preserve">(</m:t>
                  </m:r>
                  <m:r>
                    <m:rPr>
                      <m:lit/>
                      <m:nor/>
                    </m:rPr>
                    <w:rPr>
                      <w:rFonts w:ascii="Cambria Math" w:hAnsi="Cambria Math"/>
                    </w:rPr>
                    <m:t xml:space="preserve">6,5</m:t>
                  </m:r>
                  <m:r>
                    <w:rPr>
                      <w:rFonts w:ascii="Cambria Math" w:hAnsi="Cambria Math"/>
                    </w:rPr>
                    <m:t xml:space="preserve">)</m:t>
                  </m:r>
                </m:e>
              </m:mr>
            </m:m>
          </m:e>
        </m:d>
      </m:oMath>
      <w:r>
        <w:rPr>
          <w:rFonts w:eastAsia="Arial" w:cs="Arial" w:ascii="Arial" w:hAnsi="Arial"/>
          <w:color w:val="auto"/>
          <w:spacing w:val="0"/>
          <w:w w:val="100"/>
          <w:sz w:val="20"/>
          <w:szCs w:val="20"/>
          <w:lang w:val="ro-RO"/>
        </w:rPr>
        <w:t xml:space="preserve"> și elementele (5,6), (7,4);</w:t>
      </w:r>
    </w:p>
    <w:p>
      <w:pPr>
        <w:pStyle w:val="Normal"/>
        <w:widowControl/>
        <w:tabs>
          <w:tab w:val="left" w:pos="720" w:leader="none"/>
          <w:tab w:val="left" w:pos="900" w:leader="none"/>
          <w:tab w:val="left" w:pos="216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 nivelul 7: elementul (6,6) și submatricea: </w:t>
      </w:r>
      <w:r>
        <w:rPr>
          <w:rFonts w:eastAsia="Arial" w:cs="Arial" w:ascii="Arial" w:hAnsi="Arial"/>
          <w:color w:val="auto"/>
          <w:spacing w:val="0"/>
          <w:w w:val="100"/>
          <w:sz w:val="20"/>
          <w:szCs w:val="20"/>
          <w:lang w:val="ro-RO"/>
        </w:rPr>
      </w:r>
      <m:oMath xmlns:m="http://schemas.openxmlformats.org/officeDocument/2006/math">
        <m:sSub>
          <m:e>
            <m:limLow>
              <m:e>
                <m:limUpp>
                  <m:e>
                    <m:r>
                      <w:rPr>
                        <w:rFonts w:ascii="Cambria Math" w:hAnsi="Cambria Math"/>
                      </w:rPr>
                      <m:t xml:space="preserve">M</m:t>
                    </m:r>
                  </m:e>
                  <m:lim>
                    <m:r>
                      <w:rPr>
                        <w:rFonts w:ascii="Cambria Math" w:hAnsi="Cambria Math"/>
                      </w:rPr>
                      <m:t xml:space="preserve">6</m:t>
                    </m:r>
                  </m:lim>
                </m:limUpp>
              </m:e>
              <m:lim>
                <m:r>
                  <w:rPr>
                    <w:rFonts w:ascii="Cambria Math" w:hAnsi="Cambria Math"/>
                  </w:rPr>
                  <m:t xml:space="preserve">p</m:t>
                </m:r>
                <m:r>
                  <w:rPr>
                    <w:rFonts w:ascii="Cambria Math" w:hAnsi="Cambria Math"/>
                  </w:rPr>
                  <m:t xml:space="preserve">=</m:t>
                </m:r>
                <m:r>
                  <w:rPr>
                    <w:rFonts w:ascii="Cambria Math" w:hAnsi="Cambria Math"/>
                  </w:rPr>
                  <m:t xml:space="preserve">5</m:t>
                </m:r>
              </m:lim>
            </m:limLow>
          </m:e>
          <m:sub>
            <m:r>
              <m:rPr>
                <m:lit/>
                <m:nor/>
              </m:rPr>
              <w:rPr>
                <w:rFonts w:ascii="Cambria Math" w:hAnsi="Cambria Math"/>
              </w:rPr>
              <m:t xml:space="preserve">7,p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7,5</m:t>
                  </m:r>
                  <m:r>
                    <w:rPr>
                      <w:rFonts w:ascii="Cambria Math" w:hAnsi="Cambria Math"/>
                    </w:rPr>
                    <m:t xml:space="preserve">)</m:t>
                  </m:r>
                </m:e>
                <m:e>
                  <m:r>
                    <w:rPr>
                      <w:rFonts w:ascii="Cambria Math" w:hAnsi="Cambria Math"/>
                    </w:rPr>
                    <m:t xml:space="preserve">(</m:t>
                  </m:r>
                  <m:r>
                    <m:rPr>
                      <m:lit/>
                      <m:nor/>
                    </m:rPr>
                    <w:rPr>
                      <w:rFonts w:ascii="Cambria Math" w:hAnsi="Cambria Math"/>
                    </w:rPr>
                    <m:t xml:space="preserve">7,6</m:t>
                  </m:r>
                  <m:r>
                    <w:rPr>
                      <w:rFonts w:ascii="Cambria Math" w:hAnsi="Cambria Math"/>
                    </w:rPr>
                    <m:t xml:space="preserve">)</m:t>
                  </m:r>
                </m:e>
              </m:mr>
            </m:m>
          </m:e>
        </m:d>
      </m:oMath>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Din relația risc – securitate definită se deduce imediat că nivelul 7 de risc reprezintă un nivel critic, la care securitatea sistemului este minimă. Dincolo de această limită, securitatea tinde către zero, deci desfășurarea procesului de muncă nu mai poate avea loc, deoarece ea ar fi echivalentă cu producerea accidentului sau îmbolnăvirii. Despre factorii de risc caracterizați prin cuplurile (6,6), (7,5), (7,6) se poate afirma că ei vor conduce rapid și cu certitudine la producerea evenimentului extrem – decesul (pericol iminent).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Reglementările normative din majoritatea țărilor nu permit însă atingerea stadiului critic. Pentru aceasta, în general, se stabilesc pentru fiecare factor de risc fie limite maxime sub formă de valori, în cazul factorilor a căror formă de manifestare poate fi caracterizată prin elemente măsurabile, fie interdicții – factorii la care măsurătorile nu sunt posibile. Normele respective corespund unui nivel de risc maxim acceptabil, care diferă de la o țară la alta, în funcție de condițiile economice și sociale.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Autorii metodei elaborate în cadrul I.N.C.D.P.M. București consideră că pentru țara noastră ar fi indicat ca nivelul de risc maxim acceptabil să corespundă nivelului 3,5. Aceasta ar însemna în primul rând ca autorizarea de funcționare a agenților economici din punct de vedere al securității muncii să se acorde numai dacă evaluarea riscurilor la locurile de muncă confirmă nedepășirea acestui nivel.</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Plecând de la premisele teoretice prezentate anterior, a fost elaborată metoda de evaluare a riscurilor de accidentare și îmbolnăvire profesională la locurile de muncă, metodă care va fi prezentată în continuare.</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keepNext w:val="true"/>
        <w:widowControl/>
        <w:spacing w:before="240" w:after="120"/>
        <w:ind w:hanging="0"/>
        <w:jc w:val="center"/>
        <w:rPr>
          <w:rFonts w:ascii="Arial" w:hAnsi="Arial" w:cs="Arial"/>
          <w:sz w:val="18"/>
          <w:szCs w:val="18"/>
        </w:rPr>
      </w:pPr>
      <w:r>
        <w:rPr>
          <w:rFonts w:eastAsia="Arial" w:cs="Arial" w:ascii="Arial" w:hAnsi="Arial"/>
          <w:b/>
          <w:color w:val="auto"/>
          <w:spacing w:val="0"/>
          <w:w w:val="100"/>
          <w:sz w:val="20"/>
          <w:szCs w:val="20"/>
          <w:lang w:val="ro-RO"/>
        </w:rPr>
        <w:t>SUBCAPITOLUL II.II. DESCRIEREA METODEI</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1.1. Scop și finalitate: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Metoda elaborată în cadrul I.N.C.D.P.M. București are ca scop determinarea cantitativă a nivelului de risc/securitate pentru locurile de muncă declarate și încadrate de angajator la data de </w:t>
      </w:r>
      <w:r>
        <w:rPr>
          <w:rFonts w:eastAsia="Arial" w:cs="Arial" w:ascii="Arial" w:hAnsi="Arial"/>
          <w:color w:val="auto"/>
          <w:spacing w:val="0"/>
          <w:w w:val="100"/>
          <w:sz w:val="20"/>
          <w:szCs w:val="20"/>
          <w:lang w:val="ro-RO"/>
        </w:rPr>
        <w:t xml:space="preserve">{{issueDate}} </w:t>
      </w:r>
      <w:r>
        <w:rPr>
          <w:rFonts w:eastAsia="Arial" w:cs="Arial" w:ascii="Arial" w:hAnsi="Arial"/>
          <w:color w:val="auto"/>
          <w:spacing w:val="0"/>
          <w:w w:val="100"/>
          <w:sz w:val="20"/>
          <w:szCs w:val="20"/>
          <w:lang w:val="ro-RO"/>
        </w:rPr>
        <w:t>pe baza analizei sistemice și evaluării riscurilor de accidentare și îmbolnăvire profesională. Aplicarea metodei se finalizează cu un document centralizator (FIȘA DE EVALUARE A LOCULUI DE MUNCĂ), care cuprinde nivelul de risc global pe loc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Fișa locului de muncă astfel întocmită constituie baza fundamentării programului de prevenire a accidentelor de muncă și îmbolnăvirilor profesionale pentru locul de muncă, sectorul, secția sau întreprinderea analizată. În urma centralizării măsurilor ce trebuie luate de angajator se întocmește planul de prevenire și protecție care se aprobă de angajator după consultarea angajaților.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Planul de prevenire și protecție astfel întocmit devine aplicabil și este obligatoriu de respectat de către toți participanții la procesul de muncă.</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1.2. Principiul metodei: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Esența metodei constă în identificarea tuturor factorilor de risc din sistemul analizat (loc de muncă) pe baza unor liste de control prestabilite și cuantificarea dimensiunii riscului pe baza combinației dintre gravitatea și frecvența consecinței maxim previzibile.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Nivelul de securitate pentru un loc de muncă este invers proporțional cu nivelul de risc.</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1.3. Utilizatori potențiali: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Metoda poate fi utilizată atât în faza de concepție și proiectare a locurilor de muncă, cât și în faza de exploatare. Aplicarea ei necesită însă echipe complexe formate din persoane specializate atât în securitatea muncii, cât și în tehnologia analizată (evaluatori + tehnologi).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prima situație, metoda constituie un instrument util și necesar pentru proiectanți în vederea integrării principiilor și măsurilor de securitate a muncii în concepția și proiectarea sistemelor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faza de exploatare, metoda este utilă personalului de la compartimentele de protecție a muncii din întreprinderi pentru îndeplinirea următoarelor atribuții:</w:t>
      </w:r>
    </w:p>
    <w:p>
      <w:pPr>
        <w:pStyle w:val="Normal"/>
        <w:widowControl/>
        <w:spacing w:before="0" w:after="120"/>
        <w:ind w:hanging="0"/>
        <w:jc w:val="left"/>
        <w:rPr>
          <w:rFonts w:ascii="Arial" w:hAnsi="Arial" w:cs="Arial"/>
          <w:spacing w:val="-2"/>
          <w:sz w:val="18"/>
          <w:szCs w:val="18"/>
        </w:rPr>
      </w:pPr>
      <w:r>
        <w:rPr>
          <w:rFonts w:eastAsia="Arial" w:cs="Arial" w:ascii="Arial" w:hAnsi="Arial"/>
          <w:color w:val="auto"/>
          <w:spacing w:val="0"/>
          <w:w w:val="100"/>
          <w:sz w:val="20"/>
          <w:szCs w:val="20"/>
          <w:lang w:val="ro-RO"/>
        </w:rPr>
        <w:t>analiza pe o bază științifică a stării de securitate a muncii la fiecare loc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fundamentarea riguroasă a programelor de prevenire.</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1.4. Etapele metodei: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Metoda cuprinde următoarele etape obligatorii:</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w:t>
      </w:r>
      <w:r>
        <w:rPr>
          <w:rFonts w:eastAsia="Arial" w:cs="Arial" w:ascii="Arial" w:hAnsi="Arial"/>
          <w:color w:val="auto"/>
          <w:spacing w:val="0"/>
          <w:w w:val="100"/>
          <w:sz w:val="20"/>
          <w:szCs w:val="20"/>
          <w:lang w:val="ro-RO"/>
        </w:rPr>
        <w:t xml:space="preserve"> formarea echipei (colectivului) de evaluare;</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II.</w:t>
      </w:r>
      <w:r>
        <w:rPr>
          <w:rFonts w:eastAsia="Arial" w:cs="Arial" w:ascii="Arial" w:hAnsi="Arial"/>
          <w:color w:val="auto"/>
          <w:spacing w:val="0"/>
          <w:w w:val="100"/>
          <w:sz w:val="20"/>
          <w:szCs w:val="20"/>
          <w:lang w:val="ro-RO"/>
        </w:rPr>
        <w:t xml:space="preserve"> definirea locului de muncă și analiza acestuia și determinarea elementelor componente ale sistemului de muncă evaluat;</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III.</w:t>
      </w:r>
      <w:r>
        <w:rPr>
          <w:rFonts w:eastAsia="Arial" w:cs="Arial" w:ascii="Arial" w:hAnsi="Arial"/>
          <w:color w:val="auto"/>
          <w:spacing w:val="0"/>
          <w:w w:val="100"/>
          <w:sz w:val="20"/>
          <w:szCs w:val="20"/>
          <w:lang w:val="ro-RO"/>
        </w:rPr>
        <w:t xml:space="preserve"> identificarea factorilor de risc specifici locului de muncă;</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IV.</w:t>
      </w:r>
      <w:r>
        <w:rPr>
          <w:rFonts w:eastAsia="Arial" w:cs="Arial" w:ascii="Arial" w:hAnsi="Arial"/>
          <w:color w:val="auto"/>
          <w:spacing w:val="0"/>
          <w:w w:val="100"/>
          <w:sz w:val="20"/>
          <w:szCs w:val="20"/>
          <w:lang w:val="ro-RO"/>
        </w:rPr>
        <w:t xml:space="preserve"> evaluarea riscurilor de accidentare și îmbolnăvire profesională;</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V.</w:t>
      </w:r>
      <w:r>
        <w:rPr>
          <w:rFonts w:eastAsia="Arial" w:cs="Arial" w:ascii="Arial" w:hAnsi="Arial"/>
          <w:color w:val="auto"/>
          <w:spacing w:val="0"/>
          <w:w w:val="100"/>
          <w:sz w:val="20"/>
          <w:szCs w:val="20"/>
          <w:lang w:val="ro-RO"/>
        </w:rPr>
        <w:t xml:space="preserve"> propunerea măsurilor de prevenire;</w:t>
      </w:r>
    </w:p>
    <w:p>
      <w:pPr>
        <w:pStyle w:val="Normal"/>
        <w:keepNext/>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VI.</w:t>
      </w:r>
      <w:r>
        <w:rPr>
          <w:rFonts w:eastAsia="Arial" w:cs="Arial" w:ascii="Arial" w:hAnsi="Arial"/>
          <w:color w:val="auto"/>
          <w:spacing w:val="0"/>
          <w:w w:val="100"/>
          <w:sz w:val="20"/>
          <w:szCs w:val="20"/>
          <w:lang w:val="ro-RO"/>
        </w:rPr>
        <w:t xml:space="preserve"> interpretarea rezultatelor evaluării, care constă în:</w:t>
      </w:r>
    </w:p>
    <w:p>
      <w:pPr>
        <w:pStyle w:val="Normal"/>
        <w:widowControl/>
        <w:spacing w:before="0" w:after="40"/>
        <w:ind w:left="720"/>
        <w:jc w:val="left"/>
        <w:rPr>
          <w:rFonts w:ascii="Arial" w:hAnsi="Arial" w:cs="Arial"/>
          <w:sz w:val="18"/>
          <w:szCs w:val="18"/>
        </w:rPr>
      </w:pPr>
      <w:r>
        <w:rPr>
          <w:rFonts w:eastAsia="Arial" w:cs="Arial" w:ascii="Arial" w:hAnsi="Arial"/>
          <w:b/>
          <w:color w:val="auto"/>
          <w:spacing w:val="0"/>
          <w:w w:val="100"/>
          <w:sz w:val="20"/>
          <w:szCs w:val="20"/>
          <w:lang w:val="ro-RO"/>
        </w:rPr>
        <w:t xml:space="preserve">VI.I. </w:t>
      </w:r>
      <w:r>
        <w:rPr>
          <w:rFonts w:eastAsia="Arial" w:cs="Arial" w:ascii="Arial" w:hAnsi="Arial"/>
          <w:color w:val="auto"/>
          <w:spacing w:val="0"/>
          <w:w w:val="100"/>
          <w:sz w:val="20"/>
          <w:szCs w:val="20"/>
          <w:lang w:val="ro-RO"/>
        </w:rPr>
        <w:t>completarea metodei prin efectuarea ierarhizării riscurilor evaluate;</w:t>
      </w:r>
    </w:p>
    <w:p>
      <w:pPr>
        <w:pStyle w:val="Normal"/>
        <w:widowControl/>
        <w:spacing w:before="0" w:after="40"/>
        <w:ind w:left="720"/>
        <w:jc w:val="left"/>
        <w:rPr>
          <w:rFonts w:ascii="Arial" w:hAnsi="Arial" w:cs="Arial"/>
          <w:sz w:val="18"/>
          <w:szCs w:val="18"/>
        </w:rPr>
      </w:pPr>
      <w:r>
        <w:rPr>
          <w:rFonts w:eastAsia="Arial" w:cs="Arial" w:ascii="Arial" w:hAnsi="Arial"/>
          <w:b/>
          <w:color w:val="auto"/>
          <w:spacing w:val="0"/>
          <w:w w:val="100"/>
          <w:sz w:val="20"/>
          <w:szCs w:val="20"/>
          <w:lang w:val="ro-RO"/>
        </w:rPr>
        <w:t xml:space="preserve">VI.II. </w:t>
      </w:r>
      <w:r>
        <w:rPr>
          <w:rFonts w:eastAsia="Arial" w:cs="Arial" w:ascii="Arial" w:hAnsi="Arial"/>
          <w:color w:val="auto"/>
          <w:spacing w:val="0"/>
          <w:w w:val="100"/>
          <w:sz w:val="20"/>
          <w:szCs w:val="20"/>
          <w:lang w:val="ro-RO"/>
        </w:rPr>
        <w:t xml:space="preserve">determinarea nivelului de risc parțial și nivelului de risc global pentru postul de lucru / loc de muncă evaluat;</w:t>
      </w:r>
    </w:p>
    <w:p>
      <w:pPr>
        <w:pStyle w:val="Normal"/>
        <w:widowControl/>
        <w:spacing w:before="0" w:after="40"/>
        <w:ind w:left="720"/>
        <w:jc w:val="left"/>
        <w:rPr>
          <w:rFonts w:ascii="Arial" w:hAnsi="Arial" w:cs="Arial"/>
          <w:sz w:val="18"/>
          <w:szCs w:val="18"/>
        </w:rPr>
      </w:pPr>
      <w:r>
        <w:rPr>
          <w:rFonts w:eastAsia="Arial" w:cs="Arial" w:ascii="Arial" w:hAnsi="Arial"/>
          <w:b/>
          <w:color w:val="auto"/>
          <w:spacing w:val="0"/>
          <w:w w:val="100"/>
          <w:sz w:val="20"/>
          <w:szCs w:val="20"/>
          <w:lang w:val="ro-RO"/>
        </w:rPr>
        <w:t xml:space="preserve">VI.III. </w:t>
      </w:r>
      <w:r>
        <w:rPr>
          <w:rFonts w:eastAsia="Arial" w:cs="Arial" w:ascii="Arial" w:hAnsi="Arial"/>
          <w:color w:val="auto"/>
          <w:spacing w:val="0"/>
          <w:w w:val="100"/>
          <w:sz w:val="20"/>
          <w:szCs w:val="20"/>
          <w:lang w:val="ro-RO"/>
        </w:rPr>
        <w:t xml:space="preserve">determinarea ponderii factorilor de risc identificați după elementele sistemului de muncă.</w:t>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1.5. Instrumente de lucru utilizate:</w:t>
      </w:r>
    </w:p>
    <w:p>
      <w:pPr>
        <w:pStyle w:val="Normal"/>
        <w:keepNext/>
        <w:widowControl/>
        <w:spacing w:before="0" w:after="60"/>
        <w:ind w:hanging="0"/>
        <w:jc w:val="left"/>
        <w:rPr>
          <w:rFonts w:ascii="Arial" w:hAnsi="Arial" w:cs="Arial"/>
          <w:sz w:val="18"/>
          <w:szCs w:val="18"/>
        </w:rPr>
      </w:pPr>
      <w:r>
        <w:rPr>
          <w:rFonts w:eastAsia="Arial" w:cs="Arial" w:ascii="Arial" w:hAnsi="Arial"/>
          <w:color w:val="auto"/>
          <w:spacing w:val="0"/>
          <w:w w:val="100"/>
          <w:sz w:val="20"/>
          <w:szCs w:val="20"/>
          <w:lang w:val="ro-RO"/>
        </w:rPr>
        <w:t>Etapele necesare pentru evaluarea securității muncii într-un sistem, descrise anterior, se realizează utilizând următoarele instrumente de lucru:</w:t>
      </w:r>
    </w:p>
    <w:p>
      <w:pPr>
        <w:pStyle w:val="Normal"/>
        <w:widowControl/>
        <w:numPr>
          <w:ilvl w:val="0"/>
          <w:numId w:val="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Lista de identificare a factorilor de risc;</w:t>
      </w:r>
    </w:p>
    <w:p>
      <w:pPr>
        <w:pStyle w:val="Normal"/>
        <w:widowControl/>
        <w:numPr>
          <w:ilvl w:val="0"/>
          <w:numId w:val="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Lista de consecințe posibile ale acțiunii factorilor de risc asupra organismului uman;</w:t>
      </w:r>
    </w:p>
    <w:p>
      <w:pPr>
        <w:pStyle w:val="Normal"/>
        <w:widowControl/>
        <w:numPr>
          <w:ilvl w:val="0"/>
          <w:numId w:val="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Scala de cotare a gravității și probabilității consecințelor;</w:t>
      </w:r>
    </w:p>
    <w:p>
      <w:pPr>
        <w:pStyle w:val="Normal"/>
        <w:widowControl/>
        <w:numPr>
          <w:ilvl w:val="0"/>
          <w:numId w:val="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Grila de evaluare a riscurilor;</w:t>
      </w:r>
    </w:p>
    <w:p>
      <w:pPr>
        <w:pStyle w:val="Normal"/>
        <w:widowControl/>
        <w:numPr>
          <w:ilvl w:val="0"/>
          <w:numId w:val="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Scala de încadrare a nivelurilor de risc, respectiv a nivelurilor de securitate;</w:t>
      </w:r>
    </w:p>
    <w:p>
      <w:pPr>
        <w:pStyle w:val="Normal"/>
        <w:widowControl/>
        <w:numPr>
          <w:ilvl w:val="0"/>
          <w:numId w:val="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Fișa locului de muncă – document centralizator;</w:t>
      </w:r>
    </w:p>
    <w:p>
      <w:pPr>
        <w:pStyle w:val="Normal"/>
        <w:widowControl/>
        <w:numPr>
          <w:ilvl w:val="0"/>
          <w:numId w:val="4"/>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Fișa de măsuri propuse.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Conținutul și structura acestor instrumente sunt prezentate în continuare.</w:t>
      </w:r>
    </w:p>
    <w:p>
      <w:pPr>
        <w:pStyle w:val="Normal"/>
        <w:widowControl/>
        <w:numPr>
          <w:ilvl w:val="1"/>
          <w:numId w:val="4"/>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Lista de identificare a factorilor de risc</w:t>
      </w:r>
      <w:r>
        <w:rPr>
          <w:rFonts w:eastAsia="Arial" w:cs="Arial" w:ascii="Arial" w:hAnsi="Arial"/>
          <w:color w:val="auto"/>
          <w:spacing w:val="0"/>
          <w:w w:val="100"/>
          <w:sz w:val="20"/>
          <w:szCs w:val="20"/>
          <w:lang w:val="ro-RO"/>
        </w:rPr>
        <w:t xml:space="preserve"> (Anexa 1) este un formular care cuprinde, într-o formă ușor identificabilă și comprimată, principalele categorii de factori de risc de accidentare și îmbolnăvire profesională, grupate după criteriul elementului generator din cadrul sistemului de muncă (executant, sarcină de muncă, mijloace de producție și mediu de muncă).</w:t>
      </w:r>
    </w:p>
    <w:p>
      <w:pPr>
        <w:pStyle w:val="Normal"/>
        <w:widowControl/>
        <w:numPr>
          <w:ilvl w:val="1"/>
          <w:numId w:val="4"/>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Lista de consecințe posibile ale acțiunii factorilor de risc asupra organismului uman</w:t>
      </w:r>
      <w:r>
        <w:rPr>
          <w:rFonts w:eastAsia="Arial" w:cs="Arial" w:ascii="Arial" w:hAnsi="Arial"/>
          <w:color w:val="auto"/>
          <w:spacing w:val="0"/>
          <w:w w:val="100"/>
          <w:sz w:val="20"/>
          <w:szCs w:val="20"/>
          <w:lang w:val="ro-RO"/>
        </w:rPr>
        <w:t xml:space="preserve"> (Anexa 2) este un instrument ajutător în aplicarea scalei de cotare a gravității consecințelor. Ea cuprinde categoriile de leziuni și vătămări ale integrității și sănătății organismului uman, localizarea posibilă a consecințelor în raport cu structura anatomo-funcțională a organismului și gravitatea minimă – maximă generică a consecinței.</w:t>
      </w:r>
    </w:p>
    <w:p>
      <w:pPr>
        <w:pStyle w:val="Normal"/>
        <w:widowControl/>
        <w:numPr>
          <w:ilvl w:val="1"/>
          <w:numId w:val="4"/>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Scala de cotare a gravității și probabilității consecințelor acțiunii factorilor</w:t>
      </w:r>
      <w:r>
        <w:rPr>
          <w:rFonts w:eastAsia="Arial" w:cs="Arial" w:ascii="Arial" w:hAnsi="Arial"/>
          <w:b/>
          <w:color w:val="auto"/>
          <w:spacing w:val="0"/>
          <w:w w:val="100"/>
          <w:sz w:val="20"/>
          <w:szCs w:val="20"/>
          <w:lang w:val="ro-RO"/>
        </w:rPr>
        <w:t xml:space="preserve"> de risc asupra organismului uman</w:t>
      </w:r>
      <w:r>
        <w:rPr>
          <w:rFonts w:eastAsia="Arial" w:cs="Arial" w:ascii="Arial" w:hAnsi="Arial"/>
          <w:color w:val="auto"/>
          <w:spacing w:val="0"/>
          <w:w w:val="100"/>
          <w:sz w:val="20"/>
          <w:szCs w:val="20"/>
          <w:lang w:val="ro-RO"/>
        </w:rPr>
        <w:t xml:space="preserve"> (Anexa 3) este o grilă de clasificare a consecințelor în clase de gravitate și clase de probabilitate a producerii 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Partea din grilă referitoare la gravitatea consecințelor se bazează pe criteriile medicale de diagnostic clinic, funcțional și de evaluare a capacității de muncă elaborate de Ministerul Sănătății și Ministerul Muncii, Solidarității Sociale și Familiei.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ceea ce privește clasele de probabilitate, în urma experimentărilor s-a optat în forma finală a metodei pentru adaptarea standardului Uniunii Europene, astfel încât în locul intervalelor precizate de acesta s-au luat în considerare următoarele: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r>
      <w:r>
        <w:rPr>
          <w:rFonts w:eastAsia="Arial" w:cs="Arial" w:ascii="Arial" w:hAnsi="Arial"/>
          <w:b/>
          <w:color w:val="auto"/>
          <w:spacing w:val="0"/>
          <w:w w:val="100"/>
          <w:sz w:val="20"/>
          <w:szCs w:val="20"/>
          <w:lang w:val="ro-RO"/>
        </w:rPr>
        <w:t>clasa 1</w:t>
      </w:r>
      <w:r>
        <w:rPr>
          <w:rFonts w:eastAsia="Arial" w:cs="Arial" w:ascii="Arial" w:hAnsi="Arial"/>
          <w:color w:val="auto"/>
          <w:spacing w:val="0"/>
          <w:w w:val="100"/>
          <w:sz w:val="20"/>
          <w:szCs w:val="20"/>
          <w:lang w:val="ro-RO"/>
        </w:rPr>
        <w:t xml:space="preserve"> </w:t>
        <w:tab/>
        <w:t xml:space="preserve">→ </w:t>
        <w:tab/>
        <w:t>frecvența evenimentului: o dată la peste 10 ani;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r>
      <w:r>
        <w:rPr>
          <w:rFonts w:eastAsia="Arial" w:cs="Arial" w:ascii="Arial" w:hAnsi="Arial"/>
          <w:b/>
          <w:color w:val="auto"/>
          <w:spacing w:val="0"/>
          <w:w w:val="100"/>
          <w:sz w:val="20"/>
          <w:szCs w:val="20"/>
          <w:lang w:val="ro-RO"/>
        </w:rPr>
        <w:t>clasa 2</w:t>
      </w:r>
      <w:r>
        <w:rPr>
          <w:rFonts w:eastAsia="Arial" w:cs="Arial" w:ascii="Arial" w:hAnsi="Arial"/>
          <w:color w:val="auto"/>
          <w:spacing w:val="0"/>
          <w:w w:val="100"/>
          <w:sz w:val="20"/>
          <w:szCs w:val="20"/>
          <w:lang w:val="ro-RO"/>
        </w:rPr>
        <w:t xml:space="preserve"> </w:t>
        <w:tab/>
        <w:t xml:space="preserve">→ </w:t>
        <w:tab/>
        <w:t xml:space="preserve">frecvența de producere: o dată la 5 – 10 ani;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r>
      <w:r>
        <w:rPr>
          <w:rFonts w:eastAsia="Arial" w:cs="Arial" w:ascii="Arial" w:hAnsi="Arial"/>
          <w:b/>
          <w:color w:val="auto"/>
          <w:spacing w:val="0"/>
          <w:w w:val="100"/>
          <w:sz w:val="20"/>
          <w:szCs w:val="20"/>
          <w:lang w:val="ro-RO"/>
        </w:rPr>
        <w:t>clasa 3</w:t>
      </w:r>
      <w:r>
        <w:rPr>
          <w:rFonts w:eastAsia="Arial" w:cs="Arial" w:ascii="Arial" w:hAnsi="Arial"/>
          <w:color w:val="auto"/>
          <w:spacing w:val="0"/>
          <w:w w:val="100"/>
          <w:sz w:val="20"/>
          <w:szCs w:val="20"/>
          <w:lang w:val="ro-RO"/>
        </w:rPr>
        <w:t xml:space="preserve"> </w:t>
        <w:tab/>
        <w:t xml:space="preserve">→ </w:t>
        <w:tab/>
        <w:t>o dată la 2 – 5 ani;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r>
      <w:r>
        <w:rPr>
          <w:rFonts w:eastAsia="Arial" w:cs="Arial" w:ascii="Arial" w:hAnsi="Arial"/>
          <w:b/>
          <w:color w:val="auto"/>
          <w:spacing w:val="0"/>
          <w:w w:val="100"/>
          <w:sz w:val="20"/>
          <w:szCs w:val="20"/>
          <w:lang w:val="ro-RO"/>
        </w:rPr>
        <w:t>clasa 4</w:t>
      </w:r>
      <w:r>
        <w:rPr>
          <w:rFonts w:eastAsia="Arial" w:cs="Arial" w:ascii="Arial" w:hAnsi="Arial"/>
          <w:color w:val="auto"/>
          <w:spacing w:val="0"/>
          <w:w w:val="100"/>
          <w:sz w:val="20"/>
          <w:szCs w:val="20"/>
          <w:lang w:val="ro-RO"/>
        </w:rPr>
        <w:t xml:space="preserve"> </w:t>
        <w:tab/>
        <w:t xml:space="preserve">→ </w:t>
        <w:tab/>
        <w:t>o dată la 1 – 2 ani;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r>
      <w:r>
        <w:rPr>
          <w:rFonts w:eastAsia="Arial" w:cs="Arial" w:ascii="Arial" w:hAnsi="Arial"/>
          <w:b/>
          <w:color w:val="auto"/>
          <w:spacing w:val="0"/>
          <w:w w:val="100"/>
          <w:sz w:val="20"/>
          <w:szCs w:val="20"/>
          <w:lang w:val="ro-RO"/>
        </w:rPr>
        <w:t>clasa 5</w:t>
      </w:r>
      <w:r>
        <w:rPr>
          <w:rFonts w:eastAsia="Arial" w:cs="Arial" w:ascii="Arial" w:hAnsi="Arial"/>
          <w:color w:val="auto"/>
          <w:spacing w:val="0"/>
          <w:w w:val="100"/>
          <w:sz w:val="20"/>
          <w:szCs w:val="20"/>
          <w:lang w:val="ro-RO"/>
        </w:rPr>
        <w:t xml:space="preserve"> </w:t>
        <w:tab/>
        <w:t xml:space="preserve">→ </w:t>
        <w:tab/>
        <w:t>o dată la 1 an – 1 lună;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r>
      <w:r>
        <w:rPr>
          <w:rFonts w:eastAsia="Arial" w:cs="Arial" w:ascii="Arial" w:hAnsi="Arial"/>
          <w:b/>
          <w:color w:val="auto"/>
          <w:spacing w:val="0"/>
          <w:w w:val="100"/>
          <w:sz w:val="20"/>
          <w:szCs w:val="20"/>
          <w:lang w:val="ro-RO"/>
        </w:rPr>
        <w:t>clasa 6</w:t>
      </w:r>
      <w:r>
        <w:rPr>
          <w:rFonts w:eastAsia="Arial" w:cs="Arial" w:ascii="Arial" w:hAnsi="Arial"/>
          <w:color w:val="auto"/>
          <w:spacing w:val="0"/>
          <w:w w:val="100"/>
          <w:sz w:val="20"/>
          <w:szCs w:val="20"/>
          <w:lang w:val="ro-RO"/>
        </w:rPr>
        <w:t xml:space="preserve"> </w:t>
        <w:tab/>
        <w:t xml:space="preserve">→ </w:t>
        <w:tab/>
        <w:t>o dată la mai puțin de o lună.</w:t>
      </w:r>
    </w:p>
    <w:p>
      <w:pPr>
        <w:pStyle w:val="Normal"/>
        <w:widowControl/>
        <w:numPr>
          <w:ilvl w:val="0"/>
          <w:numId w:val="5"/>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Grila de evaluare a riscurilor</w:t>
      </w:r>
      <w:r>
        <w:rPr>
          <w:rFonts w:eastAsia="Arial" w:cs="Arial" w:ascii="Arial" w:hAnsi="Arial"/>
          <w:color w:val="auto"/>
          <w:spacing w:val="0"/>
          <w:w w:val="100"/>
          <w:sz w:val="20"/>
          <w:szCs w:val="20"/>
          <w:lang w:val="ro-RO"/>
        </w:rPr>
        <w:t xml:space="preserve"> (Anexa 4) este de fapt transpunerea sub formă tabelară a graficului din figura 1.5b prezentat în capitolul precedent. Liniile din tabel sunt liniile claselor de gravitate din grafic, iar coloanele – coloanele claselor de probabilitate. Fiecare căsuță corespunde câte unui punct din grafic, de coordonatele </w:t>
      </w:r>
      <w:r>
        <w:rPr>
          <w:rFonts w:eastAsia="Arial" w:cs="Arial" w:ascii="Arial" w:hAnsi="Arial"/>
          <w:iCs/>
          <w:color w:val="auto"/>
          <w:spacing w:val="0"/>
          <w:w w:val="100"/>
          <w:sz w:val="20"/>
          <w:szCs w:val="20"/>
          <w:lang w:val="ro-RO"/>
        </w:rPr>
        <w:t>g</w:t>
      </w:r>
      <w:r>
        <w:rPr>
          <w:rFonts w:eastAsia="Arial" w:cs="Arial" w:ascii="Arial" w:hAnsi="Arial"/>
          <w:color w:val="auto"/>
          <w:spacing w:val="0"/>
          <w:w w:val="100"/>
          <w:sz w:val="20"/>
          <w:szCs w:val="20"/>
          <w:lang w:val="ro-RO"/>
        </w:rPr>
        <w:t xml:space="preserve">, </w:t>
      </w:r>
      <w:r>
        <w:rPr>
          <w:rFonts w:eastAsia="Arial" w:cs="Arial" w:ascii="Arial" w:hAnsi="Arial"/>
          <w:iCs/>
          <w:color w:val="auto"/>
          <w:spacing w:val="0"/>
          <w:w w:val="100"/>
          <w:sz w:val="20"/>
          <w:szCs w:val="20"/>
          <w:lang w:val="ro-RO"/>
        </w:rPr>
        <w:t>p</w:t>
      </w:r>
      <w:r>
        <w:rPr>
          <w:rFonts w:eastAsia="Arial" w:cs="Arial" w:ascii="Arial" w:hAnsi="Arial"/>
          <w:color w:val="auto"/>
          <w:spacing w:val="0"/>
          <w:w w:val="100"/>
          <w:sz w:val="20"/>
          <w:szCs w:val="20"/>
          <w:lang w:val="ro-RO"/>
        </w:rPr>
        <w:t>. Culorile diferite marchează secțiunile obținute în grafic prin trasarea curbelor de nivel.</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Cu ajutorul grilei se realizează exprimarea efectivă a riscurilor existente în sistemul analizat, sub forma cuplului gravitate – frecvență de apariție.</w:t>
      </w:r>
    </w:p>
    <w:p>
      <w:pPr>
        <w:pStyle w:val="Normal"/>
        <w:widowControl/>
        <w:numPr>
          <w:ilvl w:val="0"/>
          <w:numId w:val="5"/>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Scala de încadrare a nivelurilor de risc/ securitate a muncii</w:t>
      </w:r>
      <w:r>
        <w:rPr>
          <w:rFonts w:eastAsia="Arial" w:cs="Arial" w:ascii="Arial" w:hAnsi="Arial"/>
          <w:color w:val="auto"/>
          <w:spacing w:val="0"/>
          <w:w w:val="100"/>
          <w:sz w:val="20"/>
          <w:szCs w:val="20"/>
          <w:lang w:val="ro-RO"/>
        </w:rPr>
        <w:t xml:space="preserve"> (Anexa 5), construită pe baza grilei de evaluare a riscurilor, este un instrument utilizat în aprecierea nivelului riscului previzionat, respectiv a nivelului de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Scala cuprinde în fapt cele 7 zone din matricea </w:t>
      </w:r>
      <w:r>
        <w:rPr>
          <w:rFonts w:eastAsia="Arial" w:cs="Arial" w:ascii="Arial" w:hAnsi="Arial"/>
          <w:iCs/>
          <w:color w:val="auto"/>
          <w:spacing w:val="0"/>
          <w:w w:val="100"/>
          <w:sz w:val="20"/>
          <w:szCs w:val="20"/>
          <w:lang w:val="ro-RO"/>
        </w:rPr>
        <w:t>M</w:t>
      </w:r>
      <w:r>
        <w:rPr>
          <w:rFonts w:eastAsia="Arial" w:cs="Arial" w:ascii="Arial" w:hAnsi="Arial"/>
          <w:iCs/>
          <w:color w:val="auto"/>
          <w:spacing w:val="0"/>
          <w:w w:val="100"/>
          <w:sz w:val="20"/>
          <w:szCs w:val="20"/>
          <w:vertAlign w:val="subscript"/>
          <w:lang w:val="ro-RO"/>
        </w:rPr>
        <w:t>g, p</w:t>
      </w:r>
      <w:r>
        <w:rPr>
          <w:rFonts w:eastAsia="Arial" w:cs="Arial" w:ascii="Arial" w:hAnsi="Arial"/>
          <w:color w:val="auto"/>
          <w:spacing w:val="0"/>
          <w:w w:val="100"/>
          <w:sz w:val="20"/>
          <w:szCs w:val="20"/>
          <w:lang w:val="ro-RO"/>
        </w:rPr>
        <w:t xml:space="preserve"> (capitolul 1), transformate în niveluri, numerotate de la 1 la 7 pentru nivelul de risc și de la 7 la 1 pentru nivelul de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zona centrală a formularului sunt prezentate explicit elementele din submatricele delimitate, precum și elementele singulare corespunzătoare fiecărui nivel de risc, respectiv toate cuplurile gravitate – probabilitate aferente nivelurilor de risc.</w:t>
      </w:r>
    </w:p>
    <w:p>
      <w:pPr>
        <w:pStyle w:val="Normal"/>
        <w:keepNext/>
        <w:widowControl/>
        <w:numPr>
          <w:ilvl w:val="0"/>
          <w:numId w:val="5"/>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Fișa de evaluare a locului de muncă</w:t>
      </w:r>
      <w:r>
        <w:rPr>
          <w:rFonts w:eastAsia="Arial" w:cs="Arial" w:ascii="Arial" w:hAnsi="Arial"/>
          <w:color w:val="auto"/>
          <w:spacing w:val="0"/>
          <w:w w:val="100"/>
          <w:sz w:val="20"/>
          <w:szCs w:val="20"/>
          <w:lang w:val="ro-RO"/>
        </w:rPr>
        <w:t xml:space="preserve"> (capitolul V, punctul III al fiecărei evaluări) este documentul centralizator al tuturor operațiilor de identificare și evaluare a riscurilor de accidentare și/sau îmbolnăvire profesională. Ca urmare, acest formular cuprinde:</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date de identificare a locului de muncă: unitatea, secția (atelierul), locul de muncă;</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date de identificare a evaluatorului: nume, prenume, funcție;</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componentele generice ale sistemului de muncă;</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nominalizarea factorilor de risc identificați;</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explicitarea formelor concrete de manifestare a factorilor de risc identificați (descriere, parametri și caracteristici funcționale);</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consecința maximă previzibilă a acțiunii factorilor de risc;</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clasa de gravitate și probabilitate previzionată;</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nivelul de risc.</w:t>
      </w:r>
    </w:p>
    <w:p>
      <w:pPr>
        <w:pStyle w:val="Normal"/>
        <w:widowControl/>
        <w:numPr>
          <w:ilvl w:val="0"/>
          <w:numId w:val="7"/>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Fișa de măsuri propuse</w:t>
      </w:r>
      <w:r>
        <w:rPr>
          <w:rFonts w:eastAsia="Arial" w:cs="Arial" w:ascii="Arial" w:hAnsi="Arial"/>
          <w:color w:val="auto"/>
          <w:spacing w:val="0"/>
          <w:w w:val="100"/>
          <w:sz w:val="20"/>
          <w:szCs w:val="20"/>
          <w:lang w:val="ro-RO"/>
        </w:rPr>
        <w:t xml:space="preserve"> este un formular pentru centralizarea măsurilor de prevenire necesare de aplicat, rezultate din evaluarea locului de muncă sub aspectul securității muncii.</w:t>
      </w:r>
    </w:p>
    <w:p>
      <w:pPr>
        <w:pStyle w:val="Normal"/>
        <w:widowControl/>
        <w:tabs>
          <w:tab w:val="clear" w:pos="720"/>
          <w:tab w:val="left" w:pos="540" w:leader="none"/>
          <w:tab w:val="left" w:pos="3240" w:leader="none"/>
        </w:tabs>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clear" w:pos="720"/>
          <w:tab w:val="left" w:pos="540" w:leader="none"/>
          <w:tab w:val="left" w:pos="3240" w:leader="none"/>
        </w:tabs>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keepNext w:val="true"/>
        <w:widowControl/>
        <w:tabs>
          <w:tab w:val="clear" w:pos="720"/>
          <w:tab w:val="left" w:pos="540" w:leader="none"/>
          <w:tab w:val="left" w:pos="3240" w:leader="none"/>
        </w:tabs>
        <w:spacing w:before="240" w:after="120"/>
        <w:ind w:hanging="0"/>
        <w:jc w:val="center"/>
        <w:rPr>
          <w:rFonts w:ascii="Arial" w:hAnsi="Arial" w:cs="Arial"/>
          <w:sz w:val="18"/>
          <w:szCs w:val="18"/>
        </w:rPr>
      </w:pPr>
      <w:r>
        <w:rPr>
          <w:rFonts w:eastAsia="Arial" w:cs="Arial" w:ascii="Arial" w:hAnsi="Arial"/>
          <w:b/>
          <w:color w:val="auto"/>
          <w:spacing w:val="0"/>
          <w:w w:val="100"/>
          <w:sz w:val="20"/>
          <w:szCs w:val="20"/>
          <w:lang w:val="ro-RO"/>
        </w:rPr>
        <w:t>SUBCAPITOLUL II.III. APLICAREA METODEI</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1.1. Procedura de lucru:</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 Constituirea echipei de analiză și evaluare: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Primul pas în aplicarea metodei îl reprezintă constituirea echipei de analiză și evaluare. Aceasta va cuprinde specialiști în domeniul securității muncii și tehnologi, buni cunoscători ai proceselor de muncă analizate.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Înainte de începerea activității, membrii echipei trebuie să cunoască în detaliu metoda de evaluare, instrumentele utilizate și procedurile concrete de lucru. De asemenea, este necesară o minimă documentare prealabilă asupra locurilor de muncă și proceselor tehnologice care urmează să fie analizate și evaluate.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După constituirea echipei de analiză și evaluare, respectiv după însușirea metodei, se trece la parcurgerea etapelor propriu-zise.</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B. Descrierea sistemului de analizat:</w:t>
      </w:r>
    </w:p>
    <w:p>
      <w:pPr>
        <w:pStyle w:val="Normal"/>
        <w:widowControl/>
        <w:spacing w:before="0" w:after="120"/>
        <w:ind w:hanging="0"/>
        <w:jc w:val="left"/>
        <w:rPr>
          <w:rFonts w:ascii="Arial" w:hAnsi="Arial" w:cs="Arial"/>
          <w:spacing w:val="-2"/>
          <w:sz w:val="18"/>
          <w:szCs w:val="18"/>
        </w:rPr>
      </w:pPr>
      <w:r>
        <w:rPr>
          <w:rFonts w:eastAsia="Arial" w:cs="Arial" w:ascii="Arial" w:hAnsi="Arial"/>
          <w:color w:val="auto"/>
          <w:spacing w:val="0"/>
          <w:w w:val="100"/>
          <w:sz w:val="20"/>
          <w:szCs w:val="20"/>
          <w:lang w:val="ro-RO"/>
        </w:rPr>
        <w:t>În această etapă se efectuează o analiză detaliată a locului de muncă, urmărind:</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identificarea și descrierea componentelor sistemului și modului său de funcționare: scopul sistemului, descrierea procesului tehnologic, a operațiilor de muncă, mașinile și utilajele folosite - parametri și caracteristici funcționale, unelte etc.;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precizarea în mod expres a sarcinii de muncă ce-i revine executantului în sistem (pe baza fișei postului, a ordinelor și deciziilor scrise, a dispozițiilor verbale date în mod curent etc.);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descrierea condițiilor de mediu existente;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precizarea cerințelor de securitate pentru fiecare componentă a sistemului, pe baza normelor și standardelor de securitate a muncii, precum și a altor acte normative incidente.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Informațiile necesare pentru această etapă se preiau din documentele întreprinderii (fișa tehnologică, cărțile tehnice ale mașinilor și utilajelor, fișa postului pentru executant, caiete de sarcini, buletine de analiză a factorilor de mediu, norme, standarde și instrucțiuni de securitate a muncii). O sursă complementară de informații pentru definirea sistemului o constituie discuțiile cu lucrătorii de la locul de muncă analizat.</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C. Identificarea factorilor de risc din sistem:</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această etapă, esențială pentru calitatea analizei, se stabilește pentru fiecare componentă a sistemului de muncă evaluat (respectiv loc de muncă), în baza listei prestabilite (Anexa 1) ce disfuncții poate prezenta, în toate situațiile previzibile și probabile de funcționare.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identificarea tuturor riscurilor posibile este deci necesară simularea funcționării sistemului și deducerea respectivelor abateri. Aceasta se poate face fie printr-o analiză verbală cu tehnologul, în cazul unor locuri de muncă relativ puțin periculoase, în care disfuncțiile accidentogene (sau generatoare de îmbolnăviri) sunt cvasievidente, fie prin aplicarea metodei arborelui de evenimente.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 asemenea, simularea se poate realiza concret, pe un model experimental sau prin procesare pe computer.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Indiferent de soluția adoptată, metodele de lucru sunt observarea directă și deducția logică.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cazul factorilor de risc obiectivi (generați de mijloacele de producție sau mediul de muncă), identificarea lor este relativ ușoară, cunoscându-se parametrii și caracteristicile funcționale ale mașinilor, utilajelor, instalațiilor, proprietățile fizico-chimice ale materiilor și materialelor utilizate sau dispunându-se de buletinele de analiză a condițiilor de mediu.</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Referitor la executant, operația este mult mai dificilă și implică un grad ridicat de nedeterminare. Pe cât posibil, se analizează toate erorile previzibile și probabile ale acestuia în raport cu sarcina de muncă atribuită, sub forma omisiunilor și acțiunilor sale greșite, precum și impactul lor asupra propriei sale securități și asupra celorlalte elemente ale sistemului.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Identificarea factorilor de risc dependenți de sarcina de muncă se realizează, pe de o parte, prin analiza conformității dintre conținutul său și capacitatea de muncă a executantului căruia îi este atribuită, iar pe de altă parte, prin precizarea eventualelor operații, reguli de muncă, procedee de lucru greșite.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Factorii de risc identificați se înscriu în Fișa de evaluare a locului de muncă (capitolul V, punctul III al fiecărei evaluări), unde se mai specifică, în aceeași etapă, și forma lor concretă de manifestare: descrierea acestora și dimensiunea parametrilor prin care se apreciază respectivul factor (de exemplu, rezistența la apăsare, forfecare, greutate și dimensiuni, curba C</w:t>
      </w:r>
      <w:r>
        <w:rPr>
          <w:rFonts w:eastAsia="Arial" w:cs="Arial" w:ascii="Arial" w:hAnsi="Arial"/>
          <w:color w:val="auto"/>
          <w:spacing w:val="0"/>
          <w:w w:val="100"/>
          <w:sz w:val="20"/>
          <w:szCs w:val="20"/>
          <w:vertAlign w:val="subscript"/>
          <w:lang w:val="ro-RO"/>
        </w:rPr>
        <w:t>z</w:t>
      </w:r>
      <w:r>
        <w:rPr>
          <w:rFonts w:eastAsia="Arial" w:cs="Arial" w:ascii="Arial" w:hAnsi="Arial"/>
          <w:color w:val="auto"/>
          <w:spacing w:val="0"/>
          <w:w w:val="100"/>
          <w:sz w:val="20"/>
          <w:szCs w:val="20"/>
          <w:lang w:val="ro-RO"/>
        </w:rPr>
        <w:t xml:space="preserve"> etc.).</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D. Evaluarea riscurilor: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determinarea consecințelor posibile ale acțiunii factorilor de risc se utilizează lista din Anexa 2. Gravitatea consecinței astfel stabilite se apreciază pe baza grilei din Anexa 3.</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Informații importante pentru aprecierea cât mai exactă a gravității consecințelor posibile se obțin din statisticile accidentelor de muncă și bolilor profesionale produse la locul de muncă respectiv sau la locuri de muncă similare.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determinarea frecvenței consecințelor posibile se folosește scala din Anexa 3. Încadrarea în clasele de probabilitate se face după ce se stabilesc, pe bază statistică sau de calcul, intervalele la care se pot produce evenimentele (zilnic, săptămânal, lunar, anual etc.). Intervalele respective se transformă ulterior în frecvențe exprimate prin număr de evenimente posibile pe an.</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Rezultatul obținut în urma procedurilor anterioare se identifică în Grila de evaluare a riscurilor (Anexa 4) și se înscrie în Fișa locului de muncă (capitolul V, punctul III al fiecărei evaluări). Cu ajutorul scalei de încadrare a nivelurilor de risc/securitate se determină apoi aceste niveluri pentru fiecare factor de risc în parte. Se obține astfel o ierarhizare a dimensiunii riscurilor la locul de muncă, ceea ce dă posibilitatea stabilirii unei priorități a măsurilor de prevenire și protecție, funcție de factorul de risc cu nivelul cel mai mare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Nivelul de risc global (Nr) pe locul de muncă se calculează ca o medie ponderată a nivelurilor de risc stabilite pentru factorii de risc identificați. Pentru ca rezultatul obținut să reflecte cât mai exact posibil realitatea, se utilizează ca element de ponderare rangul factorului de risc, care este egal cu nivelul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acest mod, factorul cu cel mai mare nivel de risc va avea și rangul cel mai mare. Se elimină astfel posibilitatea ca efectul de compensare între extreme, pe care îl implică orice medie statistică, să mascheze prezența factorului cu nivel maxim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Formula de calcul al nivelului de risc global este următoarea:</w:t>
      </w:r>
    </w:p>
    <w:p>
      <w:pPr>
        <w:pStyle w:val="Normal"/>
        <w:widowControl/>
        <w:spacing w:before="0" w:after="0"/>
        <w:ind w:hanging="0"/>
        <w:jc w:val="left"/>
        <w:rPr>
          <w:rFonts w:ascii="Arial" w:hAnsi="Arial" w:cs="Arial"/>
          <w:sz w:val="18"/>
          <w:szCs w:val="18"/>
        </w:rPr>
      </w:pPr>
      <w:r>
        <w:rPr>
          <w:rFonts w:eastAsia="Arial" w:cs="Arial" w:ascii="Arial" w:hAnsi="Arial"/>
          <w:color w:val="auto"/>
          <w:spacing w:val="0"/>
          <w:w w:val="100"/>
          <w:sz w:val="2"/>
          <w:szCs w:val="20"/>
          <w:lang w:val="ro-RO"/>
        </w:rPr>
      </w:r>
      <m:oMathPara xmlns:m="http://schemas.openxmlformats.org/officeDocument/2006/math">
        <m:oMathParaPr>
          <m:jc m:val="left"/>
        </m:oMathParaPr>
        <m:oMath>
          <m:sSub>
            <m:e>
              <m:r>
                <w:rPr>
                  <w:rFonts w:ascii="Cambria Math" w:hAnsi="Cambria Math"/>
                </w:rPr>
                <m:t xml:space="preserve">N</m:t>
              </m:r>
            </m:e>
            <m:sub>
              <m:r>
                <w:rPr>
                  <w:rFonts w:ascii="Cambria Math" w:hAnsi="Cambria Math"/>
                </w:rPr>
                <m:t xml:space="preserve">r</m:t>
              </m:r>
            </m:sub>
          </m:sSub>
          <m:r>
            <w:rPr>
              <w:rFonts w:ascii="Cambria Math" w:hAnsi="Cambria Math"/>
            </w:rPr>
            <m:t xml:space="preserve">=</m:t>
          </m:r>
          <m:f>
            <m:num>
              <m:nary>
                <m:naryPr>
                  <m:chr m:val="∑"/>
                </m:naryPr>
                <m:sub>
                  <m:r>
                    <m:rPr>
                      <m:lit/>
                      <m:nor/>
                    </m:rPr>
                    <w:rPr>
                      <w:rFonts w:ascii="Cambria Math" w:hAnsi="Cambria Math"/>
                    </w:rPr>
                    <m:t xml:space="preserve">i=1</m:t>
                  </m:r>
                </m:sub>
                <m:sup>
                  <m:r>
                    <w:rPr>
                      <w:rFonts w:ascii="Cambria Math" w:hAnsi="Cambria Math"/>
                    </w:rPr>
                    <m:t xml:space="preserve">n</m:t>
                  </m:r>
                </m:sup>
                <m:e>
                  <m:sSub>
                    <m:e>
                      <m:r>
                        <w:rPr>
                          <w:rFonts w:ascii="Cambria Math" w:hAnsi="Cambria Math"/>
                        </w:rPr>
                        <m:t xml:space="preserve">r</m:t>
                      </m:r>
                    </m:e>
                    <m:sub>
                      <m:r>
                        <w:rPr>
                          <w:rFonts w:ascii="Cambria Math" w:hAnsi="Cambria Math"/>
                        </w:rPr>
                        <m:t xml:space="preserve">i</m:t>
                      </m:r>
                    </m:sub>
                  </m:sSub>
                  <m:r>
                    <w:rPr>
                      <w:rFonts w:ascii="Cambria Math" w:hAnsi="Cambria Math"/>
                    </w:rPr>
                    <m:t xml:space="preserve">⋅</m:t>
                  </m:r>
                  <m:sSub>
                    <m:e>
                      <m:r>
                        <w:rPr>
                          <w:rFonts w:ascii="Cambria Math" w:hAnsi="Cambria Math"/>
                        </w:rPr>
                        <m:t xml:space="preserve">R</m:t>
                      </m:r>
                    </m:e>
                    <m:sub>
                      <m:r>
                        <w:rPr>
                          <w:rFonts w:ascii="Cambria Math" w:hAnsi="Cambria Math"/>
                        </w:rPr>
                        <m:t xml:space="preserve">i</m:t>
                      </m:r>
                    </m:sub>
                  </m:sSub>
                </m:e>
              </m:nary>
            </m:num>
            <m:den>
              <m:nary>
                <m:naryPr>
                  <m:chr m:val="∑"/>
                </m:naryPr>
                <m:sub>
                  <m:r>
                    <m:rPr>
                      <m:lit/>
                      <m:nor/>
                    </m:rPr>
                    <w:rPr>
                      <w:rFonts w:ascii="Cambria Math" w:hAnsi="Cambria Math"/>
                    </w:rPr>
                    <m:t xml:space="preserve">i=1</m:t>
                  </m:r>
                </m:sub>
                <m:sup>
                  <m:r>
                    <w:rPr>
                      <w:rFonts w:ascii="Cambria Math" w:hAnsi="Cambria Math"/>
                    </w:rPr>
                    <m:t xml:space="preserve">n</m:t>
                  </m:r>
                </m:sup>
                <m:e>
                  <m:sSub>
                    <m:e>
                      <m:r>
                        <w:rPr>
                          <w:rFonts w:ascii="Cambria Math" w:hAnsi="Cambria Math"/>
                        </w:rPr>
                        <m:t xml:space="preserve">r</m:t>
                      </m:r>
                    </m:e>
                    <m:sub>
                      <m:r>
                        <w:rPr>
                          <w:rFonts w:ascii="Cambria Math" w:hAnsi="Cambria Math"/>
                        </w:rPr>
                        <m:t xml:space="preserve">i</m:t>
                      </m:r>
                    </m:sub>
                  </m:sSub>
                </m:e>
              </m:nary>
            </m:den>
          </m:f>
        </m:oMath>
      </m:oMathPara>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Unde:</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N</w:t>
      </w:r>
      <w:r>
        <w:rPr>
          <w:rFonts w:eastAsia="Arial" w:cs="Arial" w:ascii="Arial" w:hAnsi="Arial"/>
          <w:iCs/>
          <w:color w:val="auto"/>
          <w:spacing w:val="0"/>
          <w:w w:val="100"/>
          <w:sz w:val="20"/>
          <w:szCs w:val="20"/>
          <w:vertAlign w:val="subscript"/>
          <w:lang w:val="ro-RO"/>
        </w:rPr>
        <w:t>r</w:t>
      </w:r>
      <w:r>
        <w:rPr>
          <w:rFonts w:eastAsia="Arial" w:cs="Arial" w:ascii="Arial" w:hAnsi="Arial"/>
          <w:color w:val="auto"/>
          <w:spacing w:val="0"/>
          <w:w w:val="100"/>
          <w:sz w:val="20"/>
          <w:szCs w:val="20"/>
          <w:vertAlign w:val="subscript"/>
          <w:lang w:val="ro-RO"/>
        </w:rPr>
        <w:t xml:space="preserve"> </w:t>
      </w:r>
      <w:r>
        <w:rPr>
          <w:rFonts w:eastAsia="Arial" w:cs="Arial" w:ascii="Arial" w:hAnsi="Arial"/>
          <w:color w:val="auto"/>
          <w:spacing w:val="0"/>
          <w:w w:val="100"/>
          <w:sz w:val="20"/>
          <w:szCs w:val="20"/>
          <w:lang w:val="ro-RO"/>
        </w:rPr>
        <w:t>- nivelul de risc global pe loc de muncă;</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r</w:t>
      </w:r>
      <w:r>
        <w:rPr>
          <w:rFonts w:eastAsia="Arial" w:cs="Arial" w:ascii="Arial" w:hAnsi="Arial"/>
          <w:iCs/>
          <w:color w:val="auto"/>
          <w:spacing w:val="0"/>
          <w:w w:val="100"/>
          <w:sz w:val="20"/>
          <w:szCs w:val="20"/>
          <w:vertAlign w:val="subscript"/>
          <w:lang w:val="ro-RO"/>
        </w:rPr>
        <w:t>i</w:t>
      </w:r>
      <w:r>
        <w:rPr>
          <w:rFonts w:eastAsia="Arial" w:cs="Arial" w:ascii="Arial" w:hAnsi="Arial"/>
          <w:color w:val="auto"/>
          <w:spacing w:val="0"/>
          <w:w w:val="100"/>
          <w:sz w:val="20"/>
          <w:szCs w:val="20"/>
          <w:lang w:val="ro-RO"/>
        </w:rPr>
        <w:t xml:space="preserve"> - rangul factorului de risc „</w:t>
      </w:r>
      <w:r>
        <w:rPr>
          <w:rFonts w:eastAsia="Arial" w:cs="Arial" w:ascii="Arial" w:hAnsi="Arial"/>
          <w:iCs/>
          <w:color w:val="auto"/>
          <w:spacing w:val="0"/>
          <w:w w:val="100"/>
          <w:sz w:val="20"/>
          <w:szCs w:val="20"/>
          <w:lang w:val="ro-RO"/>
        </w:rPr>
        <w:t>i</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R</w:t>
      </w:r>
      <w:r>
        <w:rPr>
          <w:rFonts w:eastAsia="Arial" w:cs="Arial" w:ascii="Arial" w:hAnsi="Arial"/>
          <w:iCs/>
          <w:color w:val="auto"/>
          <w:spacing w:val="0"/>
          <w:w w:val="100"/>
          <w:sz w:val="20"/>
          <w:szCs w:val="20"/>
          <w:vertAlign w:val="subscript"/>
          <w:lang w:val="ro-RO"/>
        </w:rPr>
        <w:t>i</w:t>
      </w:r>
      <w:r>
        <w:rPr>
          <w:rFonts w:eastAsia="Arial" w:cs="Arial" w:ascii="Arial" w:hAnsi="Arial"/>
          <w:color w:val="auto"/>
          <w:spacing w:val="0"/>
          <w:w w:val="100"/>
          <w:sz w:val="20"/>
          <w:szCs w:val="20"/>
          <w:lang w:val="ro-RO"/>
        </w:rPr>
        <w:t xml:space="preserve"> - nivelul de risc pentru factorul de risc „</w:t>
      </w:r>
      <w:r>
        <w:rPr>
          <w:rFonts w:eastAsia="Arial" w:cs="Arial" w:ascii="Arial" w:hAnsi="Arial"/>
          <w:iCs/>
          <w:color w:val="auto"/>
          <w:spacing w:val="0"/>
          <w:w w:val="100"/>
          <w:sz w:val="20"/>
          <w:szCs w:val="20"/>
          <w:lang w:val="ro-RO"/>
        </w:rPr>
        <w:t>i</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n</w:t>
      </w:r>
      <w:r>
        <w:rPr>
          <w:rFonts w:eastAsia="Arial" w:cs="Arial" w:ascii="Arial" w:hAnsi="Arial"/>
          <w:color w:val="auto"/>
          <w:spacing w:val="0"/>
          <w:w w:val="100"/>
          <w:sz w:val="20"/>
          <w:szCs w:val="20"/>
          <w:lang w:val="ro-RO"/>
        </w:rPr>
        <w:t xml:space="preserve"> - numărul factorilor de risc identificați la locul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Nivelul de securitate (N</w:t>
      </w:r>
      <w:r>
        <w:rPr>
          <w:rFonts w:eastAsia="Arial" w:cs="Arial" w:ascii="Arial" w:hAnsi="Arial"/>
          <w:color w:val="auto"/>
          <w:spacing w:val="0"/>
          <w:w w:val="100"/>
          <w:sz w:val="20"/>
          <w:szCs w:val="20"/>
          <w:vertAlign w:val="subscript"/>
          <w:lang w:val="ro-RO"/>
        </w:rPr>
        <w:t>S</w:t>
      </w:r>
      <w:r>
        <w:rPr>
          <w:rFonts w:eastAsia="Arial" w:cs="Arial" w:ascii="Arial" w:hAnsi="Arial"/>
          <w:color w:val="auto"/>
          <w:spacing w:val="0"/>
          <w:w w:val="100"/>
          <w:sz w:val="20"/>
          <w:szCs w:val="20"/>
          <w:lang w:val="ro-RO"/>
        </w:rPr>
        <w:t>) pe loc de muncă se identifică pe Scala de încadrare a nivelurilor de risc/securitate, construită pe principiul invers proporționalității nivelurilor de risc și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Atât nivelul de risc global, cât și nivelul de securitate se înscriu în Fișa locului de muncă (capitolul V, punctul III al fiecărei evaluări).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cazul evaluării unor macrosisteme (sector, secție, întreprindere), se calculează media ponderată a nivelurilor medii de securitate determinate pentru fiecare loc de muncă analizat din componența macrosistemului (locurile de muncă similare se consideră ca un singur loc de muncă), pentru a se obține nivelul global de securitate a muncii pentru atelierul/secția/sectorul sau întreprinderea investigată – N</w:t>
      </w:r>
      <w:r>
        <w:rPr>
          <w:rFonts w:eastAsia="Arial" w:cs="Arial" w:ascii="Arial" w:hAnsi="Arial"/>
          <w:color w:val="auto"/>
          <w:spacing w:val="0"/>
          <w:w w:val="100"/>
          <w:sz w:val="20"/>
          <w:szCs w:val="20"/>
          <w:vertAlign w:val="subscript"/>
          <w:lang w:val="ro-RO"/>
        </w:rPr>
        <w:t>g</w:t>
      </w:r>
      <w:r>
        <w:rPr>
          <w:rFonts w:eastAsia="Arial" w:cs="Arial" w:ascii="Arial" w:hAnsi="Arial"/>
          <w:color w:val="auto"/>
          <w:spacing w:val="0"/>
          <w:w w:val="100"/>
          <w:sz w:val="20"/>
          <w:szCs w:val="20"/>
          <w:lang w:val="ro-RO"/>
        </w:rPr>
        <w:t>:</w:t>
      </w:r>
    </w:p>
    <w:p>
      <w:pPr>
        <w:pStyle w:val="Normal"/>
        <w:widowControl/>
        <w:spacing w:before="0" w:after="0"/>
        <w:ind w:hanging="0"/>
        <w:jc w:val="left"/>
        <w:rPr>
          <w:rFonts w:ascii="Arial" w:hAnsi="Arial" w:cs="Arial"/>
          <w:sz w:val="18"/>
          <w:szCs w:val="18"/>
        </w:rPr>
      </w:pPr>
      <w:r>
        <w:rPr>
          <w:rFonts w:eastAsia="Arial" w:cs="Arial" w:ascii="Arial" w:hAnsi="Arial"/>
          <w:color w:val="auto"/>
          <w:spacing w:val="0"/>
          <w:w w:val="100"/>
          <w:sz w:val="2"/>
          <w:szCs w:val="20"/>
          <w:lang w:val="ro-RO"/>
        </w:rPr>
      </w:r>
      <m:oMathPara xmlns:m="http://schemas.openxmlformats.org/officeDocument/2006/math">
        <m:oMathParaPr>
          <m:jc m:val="left"/>
        </m:oMathParaPr>
        <m:oMath>
          <m:sSub>
            <m:e>
              <m:r>
                <w:rPr>
                  <w:rFonts w:ascii="Cambria Math" w:hAnsi="Cambria Math"/>
                </w:rPr>
                <m:t xml:space="preserve">N</m:t>
              </m:r>
            </m:e>
            <m:sub>
              <m:r>
                <w:rPr>
                  <w:rFonts w:ascii="Cambria Math" w:hAnsi="Cambria Math"/>
                </w:rPr>
                <m:t xml:space="preserve">g</m:t>
              </m:r>
            </m:sub>
          </m:sSub>
          <m:r>
            <w:rPr>
              <w:rFonts w:ascii="Cambria Math" w:hAnsi="Cambria Math"/>
            </w:rPr>
            <m:t xml:space="preserve">=</m:t>
          </m:r>
          <m:f>
            <m:num>
              <m:nary>
                <m:naryPr>
                  <m:chr m:val="∑"/>
                </m:naryPr>
                <m:sub>
                  <m:r>
                    <m:rPr>
                      <m:lit/>
                      <m:nor/>
                    </m:rPr>
                    <w:rPr>
                      <w:rFonts w:ascii="Cambria Math" w:hAnsi="Cambria Math"/>
                    </w:rPr>
                    <m:t xml:space="preserve">p=1</m:t>
                  </m:r>
                </m:sub>
                <m:sup>
                  <m:r>
                    <w:rPr>
                      <w:rFonts w:ascii="Cambria Math" w:hAnsi="Cambria Math"/>
                    </w:rPr>
                    <m:t xml:space="preserve">n</m:t>
                  </m:r>
                </m:sup>
                <m:e>
                  <m:sSub>
                    <m:e>
                      <m:r>
                        <w:rPr>
                          <w:rFonts w:ascii="Cambria Math" w:hAnsi="Cambria Math"/>
                        </w:rPr>
                        <m:t xml:space="preserve">r</m:t>
                      </m:r>
                    </m:e>
                    <m:sub>
                      <m:r>
                        <w:rPr>
                          <w:rFonts w:ascii="Cambria Math" w:hAnsi="Cambria Math"/>
                        </w:rPr>
                        <m:t xml:space="preserve">p</m:t>
                      </m:r>
                    </m:sub>
                  </m:sSub>
                  <m:r>
                    <w:rPr>
                      <w:rFonts w:ascii="Cambria Math" w:hAnsi="Cambria Math"/>
                    </w:rPr>
                    <m:t xml:space="preserve">⋅</m:t>
                  </m:r>
                  <m:sSub>
                    <m:e>
                      <m:r>
                        <w:rPr>
                          <w:rFonts w:ascii="Cambria Math" w:hAnsi="Cambria Math"/>
                        </w:rPr>
                        <m:t xml:space="preserve">N</m:t>
                      </m:r>
                    </m:e>
                    <m:sub>
                      <m:r>
                        <m:rPr>
                          <m:lit/>
                          <m:nor/>
                        </m:rPr>
                        <w:rPr>
                          <w:rFonts w:ascii="Cambria Math" w:hAnsi="Cambria Math"/>
                        </w:rPr>
                        <m:t xml:space="preserve">sp</m:t>
                      </m:r>
                    </m:sub>
                  </m:sSub>
                </m:e>
              </m:nary>
            </m:num>
            <m:den>
              <m:nary>
                <m:naryPr>
                  <m:chr m:val="∑"/>
                </m:naryPr>
                <m:sub>
                  <m:r>
                    <w:rPr>
                      <w:rFonts w:ascii="Cambria Math" w:hAnsi="Cambria Math"/>
                    </w:rPr>
                    <m:t xml:space="preserve">p</m:t>
                  </m:r>
                  <m:r>
                    <w:rPr>
                      <w:rFonts w:ascii="Cambria Math" w:hAnsi="Cambria Math"/>
                    </w:rPr>
                    <m:t xml:space="preserve">=</m:t>
                  </m:r>
                  <m:r>
                    <w:rPr>
                      <w:rFonts w:ascii="Cambria Math" w:hAnsi="Cambria Math"/>
                    </w:rPr>
                    <m:t xml:space="preserve">1</m:t>
                  </m:r>
                </m:sub>
                <m:sup>
                  <m:r>
                    <w:rPr>
                      <w:rFonts w:ascii="Cambria Math" w:hAnsi="Cambria Math"/>
                    </w:rPr>
                    <m:t xml:space="preserve">n</m:t>
                  </m:r>
                </m:sup>
                <m:e>
                  <m:sSub>
                    <m:e>
                      <m:r>
                        <w:rPr>
                          <w:rFonts w:ascii="Cambria Math" w:hAnsi="Cambria Math"/>
                        </w:rPr>
                        <m:t xml:space="preserve">r</m:t>
                      </m:r>
                    </m:e>
                    <m:sub>
                      <m:r>
                        <w:rPr>
                          <w:rFonts w:ascii="Cambria Math" w:hAnsi="Cambria Math"/>
                        </w:rPr>
                        <m:t xml:space="preserve">p</m:t>
                      </m:r>
                    </m:sub>
                  </m:sSub>
                </m:e>
              </m:nary>
            </m:den>
          </m:f>
        </m:oMath>
      </m:oMathPara>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Unde:</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r</w:t>
      </w:r>
      <w:r>
        <w:rPr>
          <w:rFonts w:eastAsia="Arial" w:cs="Arial" w:ascii="Arial" w:hAnsi="Arial"/>
          <w:iCs/>
          <w:color w:val="auto"/>
          <w:spacing w:val="0"/>
          <w:w w:val="100"/>
          <w:sz w:val="20"/>
          <w:szCs w:val="20"/>
          <w:vertAlign w:val="subscript"/>
          <w:lang w:val="ro-RO"/>
        </w:rPr>
        <w:t>p</w:t>
      </w:r>
      <w:r>
        <w:rPr>
          <w:rFonts w:eastAsia="Arial" w:cs="Arial" w:ascii="Arial" w:hAnsi="Arial"/>
          <w:i/>
          <w:iCs/>
          <w:color w:val="auto"/>
          <w:spacing w:val="0"/>
          <w:w w:val="100"/>
          <w:sz w:val="20"/>
          <w:szCs w:val="20"/>
          <w:lang w:val="ro-RO"/>
        </w:rPr>
        <w:t xml:space="preserve"> </w:t>
      </w:r>
      <w:r>
        <w:rPr>
          <w:rFonts w:eastAsia="Arial" w:cs="Arial" w:ascii="Arial" w:hAnsi="Arial"/>
          <w:color w:val="auto"/>
          <w:spacing w:val="0"/>
          <w:w w:val="100"/>
          <w:sz w:val="20"/>
          <w:szCs w:val="20"/>
          <w:lang w:val="ro-RO"/>
        </w:rPr>
        <w:t>- rangul locului de muncă „</w:t>
      </w:r>
      <w:r>
        <w:rPr>
          <w:rFonts w:eastAsia="Arial" w:cs="Arial" w:ascii="Arial" w:hAnsi="Arial"/>
          <w:iCs/>
          <w:color w:val="auto"/>
          <w:spacing w:val="0"/>
          <w:w w:val="100"/>
          <w:sz w:val="20"/>
          <w:szCs w:val="20"/>
          <w:lang w:val="ro-RO"/>
        </w:rPr>
        <w:t>p</w:t>
      </w:r>
      <w:r>
        <w:rPr>
          <w:rFonts w:eastAsia="Arial" w:cs="Arial" w:ascii="Arial" w:hAnsi="Arial"/>
          <w:color w:val="auto"/>
          <w:spacing w:val="0"/>
          <w:w w:val="100"/>
          <w:sz w:val="20"/>
          <w:szCs w:val="20"/>
          <w:lang w:val="ro-RO"/>
        </w:rPr>
        <w:t>” (egal ca valoare cu nivelul de risc al locului);</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n</w:t>
      </w:r>
      <w:r>
        <w:rPr>
          <w:rFonts w:eastAsia="Arial" w:cs="Arial" w:ascii="Arial" w:hAnsi="Arial"/>
          <w:color w:val="auto"/>
          <w:spacing w:val="0"/>
          <w:w w:val="100"/>
          <w:sz w:val="20"/>
          <w:szCs w:val="20"/>
          <w:lang w:val="ro-RO"/>
        </w:rPr>
        <w:t xml:space="preserve"> - numărul de locuri de muncă analizate;</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N</w:t>
      </w:r>
      <w:r>
        <w:rPr>
          <w:rFonts w:eastAsia="Arial" w:cs="Arial" w:ascii="Arial" w:hAnsi="Arial"/>
          <w:iCs/>
          <w:color w:val="auto"/>
          <w:spacing w:val="0"/>
          <w:w w:val="100"/>
          <w:sz w:val="20"/>
          <w:szCs w:val="20"/>
          <w:vertAlign w:val="subscript"/>
          <w:lang w:val="ro-RO"/>
        </w:rPr>
        <w:t>sp</w:t>
      </w:r>
      <w:r>
        <w:rPr>
          <w:rFonts w:eastAsia="Arial" w:cs="Arial" w:ascii="Arial" w:hAnsi="Arial"/>
          <w:color w:val="auto"/>
          <w:spacing w:val="0"/>
          <w:w w:val="100"/>
          <w:sz w:val="20"/>
          <w:szCs w:val="20"/>
          <w:lang w:val="ro-RO"/>
        </w:rPr>
        <w:t xml:space="preserve"> - nivelul mediu de securitate a muncii pentru locul de muncă „</w:t>
      </w:r>
      <w:r>
        <w:rPr>
          <w:rFonts w:eastAsia="Arial" w:cs="Arial" w:ascii="Arial" w:hAnsi="Arial"/>
          <w:iCs/>
          <w:color w:val="auto"/>
          <w:spacing w:val="0"/>
          <w:w w:val="100"/>
          <w:sz w:val="20"/>
          <w:szCs w:val="20"/>
          <w:lang w:val="ro-RO"/>
        </w:rPr>
        <w:t>p</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E. Stabilirea măsurilor de prevenire: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stabilirea măsurilor necesare îmbunătățirii nivelului de securitate a sistemului de muncă analizat se impune luarea în considerare a ierarhiei riscurilor evaluate, conform Scalei de încadrare a nivelurilor de risc/securitate a muncii în ordinea:</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7 – 1 dacă se operează cu nivelurile de risc;</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 7 dacă se operează cu nivelurile de securitate.</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 asemenea, se ține seama de ordinea ierarhică generică a măsurilor de prevenire, respectiv:</w:t>
      </w:r>
    </w:p>
    <w:p>
      <w:pPr>
        <w:pStyle w:val="Normal"/>
        <w:widowControl/>
        <w:numPr>
          <w:ilvl w:val="0"/>
          <w:numId w:val="8"/>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măsuri de prevenire intrinsecă;</w:t>
      </w:r>
    </w:p>
    <w:p>
      <w:pPr>
        <w:pStyle w:val="Normal"/>
        <w:widowControl/>
        <w:numPr>
          <w:ilvl w:val="0"/>
          <w:numId w:val="8"/>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măsuri de protecție colectivă;</w:t>
      </w:r>
    </w:p>
    <w:p>
      <w:pPr>
        <w:pStyle w:val="Normal"/>
        <w:widowControl/>
        <w:numPr>
          <w:ilvl w:val="0"/>
          <w:numId w:val="8"/>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măsuri de protecție individuală.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Măsurile propuse se înscriu în Fișa de măsuri de prevenire propuse.</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Aplicarea metodei se încheie cu redactarea raportului analizei. Acesta este un instrument neformalizat care trebuie să conțină, clar și succint, următoarele:</w:t>
      </w:r>
    </w:p>
    <w:p>
      <w:pPr>
        <w:pStyle w:val="Normal"/>
        <w:widowControl/>
        <w:numPr>
          <w:ilvl w:val="0"/>
          <w:numId w:val="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modul de desfășurare a analizei;</w:t>
      </w:r>
    </w:p>
    <w:p>
      <w:pPr>
        <w:pStyle w:val="Normal"/>
        <w:widowControl/>
        <w:numPr>
          <w:ilvl w:val="0"/>
          <w:numId w:val="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persoanele implicate;</w:t>
      </w:r>
    </w:p>
    <w:p>
      <w:pPr>
        <w:pStyle w:val="Normal"/>
        <w:widowControl/>
        <w:numPr>
          <w:ilvl w:val="0"/>
          <w:numId w:val="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rezultatele evaluării, respectiv fișele locurilor de muncă cu nivelurile de risc;</w:t>
      </w:r>
    </w:p>
    <w:p>
      <w:pPr>
        <w:pStyle w:val="Normal"/>
        <w:widowControl/>
        <w:numPr>
          <w:ilvl w:val="0"/>
          <w:numId w:val="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interpretarea rezultatelor evaluării;</w:t>
      </w:r>
    </w:p>
    <w:p>
      <w:pPr>
        <w:pStyle w:val="Normal"/>
        <w:widowControl/>
        <w:numPr>
          <w:ilvl w:val="0"/>
          <w:numId w:val="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fișele de măsuri de prevenire.</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1.2. Condiții de aplicare: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ca aplicarea metodei să conducă la cele mai relevante rezultate, prima condiție este ca sistemul ce urmează să fie analizat să fie un loc de muncă, bine definit sub aspectul scopului și elementelor sale. În acest mod se limitează numărul și tipul de interrelaționări potențiale ce urmează să fie investigate și implicit factorii de risc de luat în considerare.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O altă condiție deosebit de importantă este existența unei echipe de evaluare, complexă și multidisciplinară, care să includă specialiști în securitatea muncii, proiectanți, tehnologi, ergonomi, medici specialiști în medicina muncii etc., corespunzător naturii variate a elementelor sistemelor de muncă, dar și a factorilor de risc. Conducătorul echipei trebuie să fie specialistul în securitatea muncii, al cărui rol principal va fi de armonizare a punctelor de vedere ale celorlalți evaluatori, în sensul subordonării și integrării criteriilor folosite de fiecare dintre ei scopului urmărit prin analiză: evaluarea securității muncii.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Un avantaj al metodei elaborate în cadrul I.N.C.D.P.M. București îl constituie faptul că aplicarea ei nu este limitată de condiția existenței fizice a sistemului de evaluat. Ea poate fi utilizată în toate etapele legate de viața unui sistem de muncă sau a unui element al acestuia: concepția și proiectarea, realizarea fizică, constituirea și intrarea în funcțiune, desfășurarea procesului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Deoarece formele concrete de manifestare a factorilor de risc, chiar și pentru un sistem relativ simplu, sunt multiple, procedura de lucru în cadrul acestei metode este relativ laborioasă. Aplicarea ei și gestionarea riscurilor la locurile de muncă pe baza rezultatelor obținute necesită personal specializat și tehnică de calcul.</w:t>
      </w:r>
    </w:p>
    <w:p>
      <w:pPr>
        <w:pStyle w:val="Normal"/>
        <w:widowControl/>
        <w:spacing w:before="0" w:after="0"/>
        <w:ind w:hanging="0"/>
        <w:jc w:val="left"/>
        <w:rPr>
          <w:rFonts w:ascii="Arial" w:hAnsi="Arial" w:cs="Arial"/>
          <w:b/>
          <w:bCs/>
          <w:sz w:val="2"/>
          <w:szCs w:val="18"/>
        </w:rPr>
      </w:pPr>
      <w:r>
        <w:rPr>
          <w:rFonts w:eastAsia="Arial" w:cs="Arial" w:ascii="Arial" w:hAnsi="Arial"/>
          <w:b/>
          <w:bCs/>
          <w:color w:val="auto"/>
          <w:spacing w:val="0"/>
          <w:w w:val="100"/>
          <w:sz w:val="2"/>
          <w:szCs w:val="20"/>
          <w:lang w:val="ro-RO"/>
        </w:rPr>
      </w:r>
    </w:p>
    <w:p>
      <w:pPr>
        <w:pStyle w:val="Normal"/>
        <w:widowControl/>
        <w:spacing w:before="0" w:after="120"/>
        <w:ind w:hanging="0"/>
        <w:jc w:val="left"/>
        <w:rPr>
          <w:rFonts w:ascii="Arial" w:hAnsi="Arial" w:cs="Arial"/>
          <w:b/>
          <w:bCs/>
          <w:sz w:val="18"/>
          <w:szCs w:val="18"/>
        </w:rPr>
      </w:pPr>
      <w:r>
        <w:rPr>
          <w:rFonts w:eastAsia="Arial" w:cs="Arial" w:ascii="Arial" w:hAnsi="Arial"/>
          <w:b/>
          <w:bCs/>
          <w:color w:val="auto"/>
          <w:spacing w:val="0"/>
          <w:w w:val="100"/>
          <w:sz w:val="20"/>
          <w:szCs w:val="20"/>
          <w:lang w:val="ro-RO"/>
        </w:rPr>
        <w:t>1.3. Considerații privind utilizarea tehnicii de calcul automate în aplicarea metodei și gestiunea computerizată a riscurilor: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Aplicarea practică a metodei de evaluare a riscurilor în sistemul de muncă este suficient de laborioasă, ca număr de informații care trebuie luate în considerare în cazul urmăririi mai multor locuri de muncă, pentru a justifica folosirea tehnicilor moderne de prelucrare automată a datelor.</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Utilizarea calculatorului este posibilă datorită anumitor caracteristici ale metodei, respectiv:</w:t>
      </w:r>
    </w:p>
    <w:p>
      <w:pPr>
        <w:pStyle w:val="Normal"/>
        <w:widowControl/>
        <w:numPr>
          <w:ilvl w:val="0"/>
          <w:numId w:val="1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procedura de lucru etapizată;</w:t>
      </w:r>
    </w:p>
    <w:p>
      <w:pPr>
        <w:pStyle w:val="Normal"/>
        <w:widowControl/>
        <w:numPr>
          <w:ilvl w:val="0"/>
          <w:numId w:val="1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existența unui algoritm de calcul al nivelului de risc;</w:t>
      </w:r>
    </w:p>
    <w:p>
      <w:pPr>
        <w:pStyle w:val="Normal"/>
        <w:widowControl/>
        <w:numPr>
          <w:ilvl w:val="0"/>
          <w:numId w:val="1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tipul de legături dintre variabilele luate în considerare la determinarea nivelului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Tehnica automată de calcul poate fi aplicată atât la evaluarea propriu-zisă a riscurilor, cât și la gestiunea computerizată a acestora în cadrul unității.</w:t>
      </w:r>
    </w:p>
    <w:p>
      <w:pPr>
        <w:pStyle w:val="Normal"/>
        <w:keepNext/>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În timpul evaluării propriu-zise utilizarea computerului este recomandabilă în două modalități:</w:t>
      </w:r>
    </w:p>
    <w:p>
      <w:pPr>
        <w:pStyle w:val="Normal"/>
        <w:keepNext/>
        <w:widowControl/>
        <w:numPr>
          <w:ilvl w:val="0"/>
          <w:numId w:val="1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constituirea unor bănci de date privind:</w:t>
      </w:r>
    </w:p>
    <w:p>
      <w:pPr>
        <w:pStyle w:val="Normal"/>
        <w:widowControl/>
        <w:numPr>
          <w:ilvl w:val="0"/>
          <w:numId w:val="1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durata de viață a echipamentelor tehnice;</w:t>
      </w:r>
    </w:p>
    <w:p>
      <w:pPr>
        <w:pStyle w:val="Normal"/>
        <w:widowControl/>
        <w:numPr>
          <w:ilvl w:val="0"/>
          <w:numId w:val="1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timpul de funcționare;</w:t>
      </w:r>
    </w:p>
    <w:p>
      <w:pPr>
        <w:pStyle w:val="Normal"/>
        <w:widowControl/>
        <w:numPr>
          <w:ilvl w:val="0"/>
          <w:numId w:val="1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numărul de persoane expuse;</w:t>
      </w:r>
    </w:p>
    <w:p>
      <w:pPr>
        <w:pStyle w:val="Normal"/>
        <w:widowControl/>
        <w:numPr>
          <w:ilvl w:val="0"/>
          <w:numId w:val="1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timpul de expunere;</w:t>
      </w:r>
    </w:p>
    <w:p>
      <w:pPr>
        <w:pStyle w:val="Normal"/>
        <w:widowControl/>
        <w:numPr>
          <w:ilvl w:val="0"/>
          <w:numId w:val="1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statistica accidentelor de muncă și bolilor profesionale produse și utilizarea lor pentru a determina cu mai mare acuratețe clasele de probabilitate;</w:t>
      </w:r>
    </w:p>
    <w:p>
      <w:pPr>
        <w:pStyle w:val="Normal"/>
        <w:widowControl/>
        <w:numPr>
          <w:ilvl w:val="0"/>
          <w:numId w:val="1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calculul automat al nivelurilor de risc parțiale și al nivelului de risc global pe loc de muncă, sector de activitate, întreprindere.</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b.</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Gestiunea computerizată a riscurilor</w:t>
      </w:r>
      <w:r>
        <w:rPr>
          <w:rFonts w:eastAsia="Arial" w:cs="Arial" w:ascii="Arial" w:hAnsi="Arial"/>
          <w:color w:val="auto"/>
          <w:spacing w:val="0"/>
          <w:w w:val="100"/>
          <w:sz w:val="20"/>
          <w:szCs w:val="20"/>
          <w:lang w:val="ro-RO"/>
        </w:rPr>
        <w:t xml:space="preserve"> presupune realizarea unor bănci de date complete și actualizabile permanent, cuprinzând datele din fișele de risc și de măsuri pentru toate locurile de muncă evaluate din unitate.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acest mod, în fiecare moment se poate cunoaște și corectă conform ultimei evaluări situația exactă a riscurilor existente, a dimensiunii acestora (nivelurile de risc), a măsurilor care trebuie luate, a celor care s-au luat, a răspunderilor și competențelor pentru respectivele măsuri.</w:t>
      </w:r>
    </w:p>
    <w:p>
      <w:pPr>
        <w:pStyle w:val="Normal"/>
        <w:widowControl/>
        <w:tabs>
          <w:tab w:val="clear" w:pos="720"/>
          <w:tab w:val="left" w:pos="4110" w:leader="none"/>
        </w:tabs>
        <w:spacing w:before="0" w:after="0"/>
        <w:ind w:hanging="0"/>
        <w:jc w:val="left"/>
        <w:rPr>
          <w:rFonts w:ascii="Arial" w:hAnsi="Arial" w:cs="Arial"/>
          <w:spacing w:val="-4"/>
          <w:sz w:val="2"/>
          <w:szCs w:val="18"/>
        </w:rPr>
      </w:pPr>
      <w:r>
        <w:rPr>
          <w:rFonts w:eastAsia="Arial" w:cs="Arial" w:ascii="Arial" w:hAnsi="Arial"/>
          <w:color w:val="auto"/>
          <w:spacing w:val="0"/>
          <w:w w:val="100"/>
          <w:sz w:val="2"/>
          <w:szCs w:val="20"/>
          <w:lang w:val="ro-RO"/>
        </w:rPr>
      </w:r>
    </w:p>
    <w:p>
      <w:pPr>
        <w:pStyle w:val="Normal"/>
        <w:widowControl/>
        <w:tabs>
          <w:tab w:val="clear" w:pos="720"/>
          <w:tab w:val="left" w:pos="4110" w:leader="none"/>
        </w:tabs>
        <w:spacing w:before="0" w:after="0"/>
        <w:ind w:hanging="0"/>
        <w:jc w:val="left"/>
        <w:rPr>
          <w:rFonts w:ascii="Arial" w:hAnsi="Arial" w:cs="Arial"/>
          <w:spacing w:val="-4"/>
          <w:sz w:val="2"/>
          <w:szCs w:val="18"/>
        </w:rPr>
      </w:pPr>
      <w:r>
        <w:rPr>
          <w:rFonts w:eastAsia="Arial" w:cs="Arial" w:ascii="Arial" w:hAnsi="Arial"/>
          <w:color w:val="auto"/>
          <w:spacing w:val="0"/>
          <w:w w:val="100"/>
          <w:sz w:val="2"/>
          <w:szCs w:val="20"/>
          <w:lang w:val="ro-RO"/>
        </w:rPr>
      </w:r>
    </w:p>
    <w:p>
      <w:pPr>
        <w:pStyle w:val="Normal"/>
        <w:keepNext w:val="true"/>
        <w:widowControl/>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CAPITOLUL III. PREZENTAREA UNITĂȚII</w:t>
      </w:r>
    </w:p>
    <w:p>
      <w:pPr>
        <w:pStyle w:val="Normal"/>
        <w:keepNext w:val="true"/>
        <w:widowControl/>
        <w:spacing w:before="0" w:after="0"/>
        <w:ind w:hanging="0"/>
        <w:jc w:val="left"/>
        <w:rPr>
          <w:rFonts w:ascii="Arial" w:hAnsi="Arial" w:cs="Arial"/>
          <w:b/>
          <w:sz w:val="2"/>
          <w:szCs w:val="18"/>
          <w:lang w:val="it-CH"/>
        </w:rPr>
      </w:pPr>
      <w:r>
        <w:rPr>
          <w:rFonts w:eastAsia="Arial" w:cs="Arial" w:ascii="Arial" w:hAnsi="Arial"/>
          <w:b/>
          <w:color w:val="auto"/>
          <w:spacing w:val="0"/>
          <w:w w:val="100"/>
          <w:sz w:val="2"/>
          <w:szCs w:val="20"/>
          <w:lang w:val="ro-RO"/>
        </w:rPr>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Denumirea unității: {{client.legalName}}</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Reprezentantul legal: {{client.representativeName}}, {{client.representativeRole}}</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Conducerea locurilor de muncă: {{workplaceManagersList}}</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Activitatea principală (clasa CAEN): {{riskAssessment.unit.activity}}</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Numărul total de angajați: {{riskAssessment.unit.employeeCount}}</w:t>
      </w:r>
    </w:p>
    <w:p>
      <w:pPr>
        <w:pStyle w:val="Normal"/>
        <w:keepNext w:val="tru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Sediu social și puncte de lucru:</w:t>
      </w:r>
    </w:p>
    <w:p>
      <w:pPr>
        <w:pStyle w:val="Normal"/>
        <w:keepNext w:val="tru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{{#riskAssessment.unit.workplaces}}</w:t>
      </w:r>
    </w:p>
    <w:p>
      <w:pPr>
        <w:pStyle w:val="Normal"/>
        <w:keepNext w:val="false"/>
        <w:pageBreakBefore w:val="false"/>
        <w:widowControl/>
        <w:numPr>
          <w:ilvl w:val="0"/>
          <w:numId w:val="0"/>
        </w:numPr>
        <w:spacing w:before="0" w:after="40"/>
        <w:ind w:hanging="0" w:left="36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{{label}}: {{address}}</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{{/riskAssessment.unit.workplaces}}</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{{#riskAssessment.unit.noWorkplaces}}</w:t>
      </w:r>
    </w:p>
    <w:p>
      <w:pPr>
        <w:pStyle w:val="Normal"/>
        <w:keepNext w:val="true"/>
        <w:pageBreakBefore w:val="false"/>
        <w:widowControl/>
        <w:numPr>
          <w:ilvl w:val="0"/>
          <w:numId w:val="0"/>
        </w:numPr>
        <w:spacing w:before="0" w:after="40"/>
        <w:ind w:hanging="0" w:left="36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Unitatea nu are înregistrat un sediu sau un punct de lucru.</w:t>
      </w:r>
    </w:p>
    <w:p>
      <w:pPr>
        <w:pStyle w:val="Normal"/>
        <w:keepNext w:val="tru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{{/riskAssessment.unit.noWorkplaces}}</w:t>
      </w:r>
    </w:p>
    <w:p>
      <w:pPr>
        <w:pStyle w:val="Normal"/>
        <w:keepNext w:val="tru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Informații privind executanții activităților – funcțiile de încadrare în unitate:</w:t>
      </w:r>
    </w:p>
    <w:tbl>
      <w:tblPr>
        <w:tblW w:w="5000" w:type="pct"/>
        <w:jc w:val="left"/>
        <w:tblInd w:w="55" w:type="dxa"/>
        <w:tblLayout w:type="fixed"/>
        <w:tblCellMar>
          <w:top w:w="55" w:type="dxa"/>
          <w:left w:w="55" w:type="dxa"/>
          <w:bottom w:w="55" w:type="dxa"/>
          <w:right w:w="55" w:type="dxa"/>
        </w:tblCellMar>
      </w:tblPr>
      <w:tblGrid>
        <w:gridCol w:w="701"/>
        <w:gridCol w:w="1871"/>
        <w:gridCol w:w="2339"/>
        <w:gridCol w:w="4444"/>
      </w:tblGrid>
      <w:tr>
        <w:trPr>
          <w:tblHeader w:val="true"/>
        </w:trPr>
        <w:tc>
          <w:tcPr>
            <w:tcW w:w="701"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1871"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Loc de muncă</w:t>
            </w:r>
          </w:p>
        </w:tc>
        <w:tc>
          <w:tcPr>
            <w:tcW w:w="2339"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Post de lucru</w:t>
            </w:r>
          </w:p>
        </w:tc>
        <w:tc>
          <w:tcPr>
            <w:tcW w:w="4444" w:type="dxa"/>
            <w:tcBorders>
              <w:top w:val="single" w:sz="4" w:space="0" w:color="000000"/>
              <w:left w:val="single" w:sz="4" w:space="0" w:color="000000"/>
              <w:bottom w:val="single" w:sz="4" w:space="0" w:color="000000"/>
              <w:right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Activități propriu-zise desfășurate</w:t>
            </w:r>
          </w:p>
        </w:tc>
      </w:tr>
      <w:tr>
        <w:trPr/>
        <w:tc>
          <w:tcPr>
            <w:tcW w:w="701"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{{#positions}}{{$index}}.</w:t>
            </w:r>
          </w:p>
        </w:tc>
        <w:tc>
          <w:tcPr>
            <w:tcW w:w="1871"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{{workZoneOrDash}}</w:t>
            </w:r>
          </w:p>
        </w:tc>
        <w:tc>
          <w:tcPr>
            <w:tcW w:w="2339"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{{name}}</w:t>
            </w:r>
          </w:p>
        </w:tc>
        <w:tc>
          <w:tcPr>
            <w:tcW w:w="4444"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{{activities}}{{/positions}}</w:t>
            </w:r>
          </w:p>
        </w:tc>
      </w:tr>
    </w:tbl>
    <w:p>
      <w:pPr>
        <w:pStyle w:val="Normal"/>
        <w:keepNext w:val="true"/>
        <w:widowControl/>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CAPITOLUL IV. FORMAREA ECHIPELOR (COLECTIVULUI) DE EVALUARE A RISCURILOR DE ACCIDENTARE ȘI/ SAU ÎMBOLNĂVIRE PROFESIONALĂ PENTRU {{client.legalName}}</w:t>
      </w:r>
    </w:p>
    <w:p>
      <w:pPr>
        <w:pStyle w:val="Normal"/>
        <w:keepNext w:val="tru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Title"/>
        <w:keepNext w:val="false"/>
        <w:widowControl/>
        <w:spacing w:before="0" w:after="120"/>
        <w:ind w:hanging="0"/>
        <w:jc w:val="left"/>
        <w:rPr>
          <w:rFonts w:ascii="Arial" w:hAnsi="Arial" w:cs="Arial"/>
          <w:b w:val="false"/>
          <w:sz w:val="18"/>
          <w:szCs w:val="18"/>
        </w:rPr>
      </w:pPr>
      <w:r>
        <w:rPr>
          <w:rFonts w:eastAsia="Arial" w:cs="Arial" w:ascii="Arial" w:hAnsi="Arial"/>
          <w:b w:val="false"/>
          <w:color w:val="auto"/>
          <w:spacing w:val="0"/>
          <w:w w:val="100"/>
          <w:sz w:val="20"/>
          <w:szCs w:val="20"/>
          <w:lang w:val="ro-RO"/>
        </w:rPr>
        <w:t xml:space="preserve">Luând în considerare că evaluarea de risc de accidentare și îmbolnăvire profesională la {{client.legalName}} este un proces de analiză ce are ca scop îmbunătățirea continuă a condițiilor de muncă, echipa de evaluare a riscului trebuie privită ca un colectiv care desfășoară o activitate semipermanentă ale cărei acțiuni preventive se materializează prin adoptarea de măsuri tehnico-organizatorice și igienico-sanitare.</w:t>
      </w:r>
    </w:p>
    <w:p>
      <w:pPr>
        <w:pStyle w:val="Title"/>
        <w:keepNext w:val="true"/>
        <w:widowControl/>
        <w:spacing w:before="0" w:after="120"/>
        <w:ind w:hanging="0"/>
        <w:jc w:val="left"/>
        <w:rPr>
          <w:rFonts w:ascii="Arial" w:hAnsi="Arial" w:cs="Arial"/>
          <w:b w:val="false"/>
          <w:sz w:val="18"/>
          <w:szCs w:val="18"/>
        </w:rPr>
      </w:pPr>
      <w:r>
        <w:rPr>
          <w:rFonts w:eastAsia="Arial" w:cs="Arial" w:ascii="Arial" w:hAnsi="Arial"/>
          <w:b w:val="false"/>
          <w:color w:val="auto"/>
          <w:spacing w:val="0"/>
          <w:w w:val="100"/>
          <w:sz w:val="20"/>
          <w:szCs w:val="20"/>
          <w:lang w:val="ro-RO"/>
        </w:rPr>
        <w:t>Având în vedere complexitatea activității de evaluare a riscului, angajatorul trebuie să conștientizeze beneficiile pe care o evaluare obiectivă și actualizată periodic contribuie în mod cert la creșterea performanțelor productive ale angajaților, eficiența proceselor de muncă și asigurarea creșterii securității la locul de desfășurare a activităților.</w:t>
      </w:r>
    </w:p>
    <w:p>
      <w:pPr>
        <w:pStyle w:val="Title"/>
        <w:keepNext w:val="true"/>
        <w:widowControl/>
        <w:spacing w:before="0" w:after="0"/>
        <w:ind w:hanging="0"/>
        <w:jc w:val="left"/>
        <w:rPr>
          <w:rFonts w:ascii="Arial" w:hAnsi="Arial" w:cs="Arial"/>
          <w:b w:val="false"/>
          <w:sz w:val="2"/>
          <w:szCs w:val="18"/>
        </w:rPr>
      </w:pPr>
      <w:r>
        <w:rPr>
          <w:rFonts w:eastAsia="Arial" w:cs="Arial" w:ascii="Arial" w:hAnsi="Arial"/>
          <w:b w:val="false"/>
          <w:color w:val="auto"/>
          <w:spacing w:val="0"/>
          <w:w w:val="100"/>
          <w:sz w:val="2"/>
          <w:szCs w:val="20"/>
          <w:lang w:val="ro-RO"/>
        </w:rPr>
      </w:r>
    </w:p>
    <w:p>
      <w:pPr>
        <w:pStyle w:val="Normal"/>
        <w:keepNext w:val="true"/>
        <w:pageBreakBefore w:val="false"/>
        <w:widowControl/>
        <w:numPr>
          <w:ilvl w:val="0"/>
          <w:numId w:val="0"/>
        </w:numPr>
        <w:spacing w:before="0" w:after="120"/>
        <w:ind w:hanging="0" w:left="0"/>
        <w:jc w:val="left"/>
        <w:rPr>
          <w:rFonts w:ascii="Arial" w:hAnsi="Arial" w:cs="Arial"/>
          <w:b w:val="false"/>
          <w:sz w:val="18"/>
          <w:szCs w:val="18"/>
        </w:rPr>
      </w:pPr>
      <w:r>
        <w:rPr>
          <w:rFonts w:eastAsia="Arial" w:cs="Arial" w:ascii="Arial" w:hAnsi="Arial"/>
          <w:b w:val="false"/>
          <w:i w:val="false"/>
          <w:color w:val="auto"/>
          <w:spacing w:val="0"/>
          <w:w w:val="100"/>
          <w:sz w:val="20"/>
          <w:szCs w:val="20"/>
          <w:lang w:val="ro-RO"/>
        </w:rPr>
        <w:t>Prin decizia privind echipa de evaluare a riscurilor s-a stabilit echipa de evaluare pentru {{client.legalName}}, alcătuită din:</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val="false"/>
          <w:color w:val="auto"/>
          <w:sz w:val="20"/>
          <w:szCs w:val="20"/>
          <w:lang w:val="ro-RO"/>
        </w:rPr>
        <w:t xml:space="preserve">{{#evaluationTeam}}</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{{name}} – {{jobTitle}}, {{client.legalName}}</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val="false"/>
          <w:color w:val="auto"/>
          <w:sz w:val="20"/>
          <w:szCs w:val="20"/>
          <w:lang w:val="ro-RO"/>
        </w:rPr>
        <w:t xml:space="preserve">{{/evaluationTeam}}</w:t>
      </w:r>
    </w:p>
    <w:p>
      <w:pPr>
        <w:pStyle w:val="Normal"/>
        <w:keepNext w:val="false"/>
        <w:pageBreakBefore w:val="false"/>
        <w:widowControl/>
        <w:numPr>
          <w:ilvl w:val="0"/>
          <w:numId w:val="0"/>
        </w:numPr>
        <w:spacing w:before="0" w:after="120"/>
        <w:ind w:hanging="0" w:left="360"/>
        <w:jc w:val="left"/>
        <w:rPr>
          <w:rFonts w:ascii="Arial" w:hAnsi="Arial" w:cs="Arial"/>
          <w:sz w:val="20"/>
          <w:szCs w:val="20"/>
        </w:rPr>
      </w:pPr>
      <w:r>
        <w:rPr>
          <w:rFonts w:eastAsia="Arial" w:cs="Arial" w:ascii="Arial" w:hAnsi="Arial"/>
          <w:b w:val="false"/>
          <w:color w:val="auto"/>
          <w:sz w:val="20"/>
          <w:szCs w:val="20"/>
          <w:lang w:val="ro-RO"/>
        </w:rPr>
        <w:t xml:space="preserve">{{specialist.name}} – {{specialist.professionalTitle}}, {{provider.legalName}}</w:t>
      </w:r>
    </w:p>
    <w:p>
      <w:pPr>
        <w:pStyle w:val="Title"/>
        <w:widowControl/>
        <w:spacing w:before="120" w:after="120"/>
        <w:ind w:hanging="0"/>
        <w:jc w:val="left"/>
        <w:rPr>
          <w:rFonts w:ascii="Arial" w:hAnsi="Arial" w:cs="Arial"/>
          <w:b w:val="false"/>
          <w:sz w:val="18"/>
          <w:szCs w:val="18"/>
        </w:rPr>
      </w:pPr>
      <w:r>
        <w:rPr>
          <w:rFonts w:eastAsia="Arial" w:cs="Arial" w:ascii="Arial" w:hAnsi="Arial"/>
          <w:b w:val="false"/>
          <w:color w:val="auto"/>
          <w:spacing w:val="0"/>
          <w:w w:val="100"/>
          <w:sz w:val="20"/>
          <w:szCs w:val="20"/>
          <w:lang w:val="ro-RO"/>
        </w:rPr>
        <w:t>Totodată, se va stabili necesitatea întocmirii unor noi proceduri, s-au stabilit etapele procesului de evaluare a riscurilor, durata și periodicitatea revizuirii evaluării riscurilor de accidentare și îmbolnăvire profesională (la modificări ale echipamentelor de muncă, care pot duce la apariția de noi riscuri de accidentare sau îmbolnăvire profesională) și întocmirea planului de prevenire și protecție. Acest plan se va actualiza ori de câte ori schimbările survenite în sistemul de muncă impun (prin apariția de noi riscuri) reevaluarea sistemului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fiecare loc de muncă, respectiv, post de lucru în parte, determinarea (cuantificarea) cantitativă a nivelului de risc/ securitate a muncii pentru locurile de muncă se face pe baza analizei sistematice și evaluării riscurilor de accidentare și îmbolnăviri profesionale.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Această metodă se finalizează cu un document centralizator: FIȘA DE EVALUARE A LOCULUI DE MUNCĂ – care cuprinde nivelul de risc global pentru acel loc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Procedura de lucru a metodei de evaluare prin analiză sistematică cuprinde, pe lângă etapele propriu-zise și alte activități (valabile pentru fiecare loc de muncă / post de lucru evaluat), după cum urmează:</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w:t>
      </w:r>
      <w:r>
        <w:rPr>
          <w:rFonts w:eastAsia="Arial" w:cs="Arial" w:ascii="Arial" w:hAnsi="Arial"/>
          <w:color w:val="auto"/>
          <w:spacing w:val="0"/>
          <w:w w:val="100"/>
          <w:sz w:val="20"/>
          <w:szCs w:val="20"/>
          <w:lang w:val="ro-RO"/>
        </w:rPr>
        <w:t xml:space="preserve"> definirea locului de muncă și analiza acestuia și determinarea elementelor componente ale sistemului de muncă evaluat;</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II.</w:t>
      </w:r>
      <w:r>
        <w:rPr>
          <w:rFonts w:eastAsia="Arial" w:cs="Arial" w:ascii="Arial" w:hAnsi="Arial"/>
          <w:color w:val="auto"/>
          <w:spacing w:val="0"/>
          <w:w w:val="100"/>
          <w:sz w:val="20"/>
          <w:szCs w:val="20"/>
          <w:lang w:val="ro-RO"/>
        </w:rPr>
        <w:t xml:space="preserve"> identificarea factorilor de risc specifici locului de muncă;</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III.</w:t>
      </w:r>
      <w:r>
        <w:rPr>
          <w:rFonts w:eastAsia="Arial" w:cs="Arial" w:ascii="Arial" w:hAnsi="Arial"/>
          <w:color w:val="auto"/>
          <w:spacing w:val="0"/>
          <w:w w:val="100"/>
          <w:sz w:val="20"/>
          <w:szCs w:val="20"/>
          <w:lang w:val="ro-RO"/>
        </w:rPr>
        <w:t xml:space="preserve"> evaluarea riscurilor de accidentare și îmbolnăvire profesională;</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IV.</w:t>
      </w:r>
      <w:r>
        <w:rPr>
          <w:rFonts w:eastAsia="Arial" w:cs="Arial" w:ascii="Arial" w:hAnsi="Arial"/>
          <w:color w:val="auto"/>
          <w:spacing w:val="0"/>
          <w:w w:val="100"/>
          <w:sz w:val="20"/>
          <w:szCs w:val="20"/>
          <w:lang w:val="ro-RO"/>
        </w:rPr>
        <w:t xml:space="preserve"> propunerea măsurilor de prevenire;</w:t>
      </w:r>
    </w:p>
    <w:p>
      <w:pPr>
        <w:pStyle w:val="Normal"/>
        <w:keepNext/>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V.</w:t>
      </w:r>
      <w:r>
        <w:rPr>
          <w:rFonts w:eastAsia="Arial" w:cs="Arial" w:ascii="Arial" w:hAnsi="Arial"/>
          <w:color w:val="auto"/>
          <w:spacing w:val="0"/>
          <w:w w:val="100"/>
          <w:sz w:val="20"/>
          <w:szCs w:val="20"/>
          <w:lang w:val="ro-RO"/>
        </w:rPr>
        <w:t xml:space="preserve"> interpretarea rezultatelor evaluării, care constă în:</w:t>
      </w:r>
    </w:p>
    <w:p>
      <w:pPr>
        <w:pStyle w:val="Normal"/>
        <w:widowControl/>
        <w:spacing w:before="0" w:after="40"/>
        <w:ind w:left="720"/>
        <w:jc w:val="left"/>
        <w:rPr>
          <w:rFonts w:ascii="Arial" w:hAnsi="Arial" w:cs="Arial"/>
          <w:sz w:val="18"/>
          <w:szCs w:val="18"/>
        </w:rPr>
      </w:pPr>
      <w:r>
        <w:rPr>
          <w:rFonts w:eastAsia="Arial" w:cs="Arial" w:ascii="Arial" w:hAnsi="Arial"/>
          <w:b/>
          <w:color w:val="auto"/>
          <w:spacing w:val="0"/>
          <w:w w:val="100"/>
          <w:sz w:val="20"/>
          <w:szCs w:val="20"/>
          <w:lang w:val="ro-RO"/>
        </w:rPr>
        <w:t xml:space="preserve">V.I. </w:t>
      </w:r>
      <w:r>
        <w:rPr>
          <w:rFonts w:eastAsia="Arial" w:cs="Arial" w:ascii="Arial" w:hAnsi="Arial"/>
          <w:color w:val="auto"/>
          <w:spacing w:val="0"/>
          <w:w w:val="100"/>
          <w:sz w:val="20"/>
          <w:szCs w:val="20"/>
          <w:lang w:val="ro-RO"/>
        </w:rPr>
        <w:t>completarea metodei prin efectuarea ierarhizării riscurilor evaluate;</w:t>
      </w:r>
    </w:p>
    <w:p>
      <w:pPr>
        <w:pStyle w:val="Normal"/>
        <w:widowControl/>
        <w:spacing w:before="0" w:after="40"/>
        <w:ind w:left="720"/>
        <w:jc w:val="left"/>
        <w:rPr>
          <w:rFonts w:ascii="Arial" w:hAnsi="Arial" w:cs="Arial"/>
          <w:sz w:val="18"/>
          <w:szCs w:val="18"/>
        </w:rPr>
      </w:pPr>
      <w:r>
        <w:rPr>
          <w:rFonts w:eastAsia="Arial" w:cs="Arial" w:ascii="Arial" w:hAnsi="Arial"/>
          <w:b/>
          <w:color w:val="auto"/>
          <w:spacing w:val="0"/>
          <w:w w:val="100"/>
          <w:sz w:val="20"/>
          <w:szCs w:val="20"/>
          <w:lang w:val="ro-RO"/>
        </w:rPr>
        <w:t xml:space="preserve">V.II. </w:t>
      </w:r>
      <w:r>
        <w:rPr>
          <w:rFonts w:eastAsia="Arial" w:cs="Arial" w:ascii="Arial" w:hAnsi="Arial"/>
          <w:color w:val="auto"/>
          <w:spacing w:val="0"/>
          <w:w w:val="100"/>
          <w:sz w:val="20"/>
          <w:szCs w:val="20"/>
          <w:lang w:val="ro-RO"/>
        </w:rPr>
        <w:t xml:space="preserve">determinarea nivelului de risc parțial și nivelului de risc global pentru postul de lucru / loc de muncă evaluat;</w:t>
      </w:r>
    </w:p>
    <w:p>
      <w:pPr>
        <w:pStyle w:val="Normal"/>
        <w:widowControl/>
        <w:spacing w:before="0" w:after="40"/>
        <w:ind w:left="720"/>
        <w:jc w:val="left"/>
        <w:rPr>
          <w:rFonts w:ascii="Arial" w:hAnsi="Arial" w:cs="Arial"/>
          <w:sz w:val="18"/>
          <w:szCs w:val="18"/>
        </w:rPr>
      </w:pPr>
      <w:r>
        <w:rPr>
          <w:rFonts w:eastAsia="Arial" w:cs="Arial" w:ascii="Arial" w:hAnsi="Arial"/>
          <w:b/>
          <w:color w:val="auto"/>
          <w:spacing w:val="0"/>
          <w:w w:val="100"/>
          <w:sz w:val="20"/>
          <w:szCs w:val="20"/>
          <w:lang w:val="ro-RO"/>
        </w:rPr>
        <w:t xml:space="preserve">V.III. </w:t>
      </w:r>
      <w:r>
        <w:rPr>
          <w:rFonts w:eastAsia="Arial" w:cs="Arial" w:ascii="Arial" w:hAnsi="Arial"/>
          <w:color w:val="auto"/>
          <w:spacing w:val="0"/>
          <w:w w:val="100"/>
          <w:sz w:val="20"/>
          <w:szCs w:val="20"/>
          <w:lang w:val="ro-RO"/>
        </w:rPr>
        <w:t>determinarea ponderii factorilor de risc identificați după elementele sistemului de muncă.</w:t>
      </w:r>
    </w:p>
    <w:p>
      <w:pPr>
        <w:pStyle w:val="Normal"/>
        <w:pageBreakBefore/>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Anexa Nr. 1.</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LISTA DE IDENTIFICARE A FACTORILOR DE RISC</w:t>
      </w:r>
    </w:p>
    <w:p>
      <w:pPr>
        <w:pStyle w:val="Normal"/>
        <w:keepNext w:val="tru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color w:val="auto"/>
          <w:sz w:val="20"/>
          <w:szCs w:val="20"/>
          <w:lang w:val="ro-RO"/>
        </w:rPr>
        <w:t xml:space="preserve">A. EXECUTANT</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1. ACȚIUNI GREȘITE</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 Executare defectuoasă de operații: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Comenzi;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Manevre;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Poziționări, fixări, asamblări;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Reglaje;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Utilizare greșită a mijloacelor de protecție etc.</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1.2. Nesincronizări de operații: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Întârzieri;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Devansări.</w:t>
      </w:r>
    </w:p>
    <w:p>
      <w:pPr>
        <w:pStyle w:val="Normal"/>
        <w:keepNext/>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1.3. Efectuare de operații neprevăzute prin sarcina de muncă: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pornirea echipamentelor tehnice;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întreruperea funcționării echipamentelor tehnice;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alimentarea sau oprirea alimentării cu energie (curent electric, fluide energetice etc.);</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deplasări, staționări în zone periculoase;</w:t>
      </w:r>
    </w:p>
    <w:p>
      <w:pPr>
        <w:pStyle w:val="Normal"/>
        <w:keepNext w:val="tru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deplasări cu pericol de cădere:</w:t>
      </w:r>
    </w:p>
    <w:p>
      <w:pPr>
        <w:pStyle w:val="Normal"/>
        <w:keepNext w:val="true"/>
        <w:pageBreakBefore w:val="false"/>
        <w:widowControl/>
        <w:numPr>
          <w:ilvl w:val="1"/>
          <w:numId w:val="36"/>
        </w:numPr>
        <w:spacing w:before="0" w:after="40"/>
        <w:ind w:hanging="360" w:left="1800"/>
        <w:jc w:val="left"/>
        <w:rPr>
          <w:rFonts w:ascii="Arial" w:hAnsi="Arial" w:cs="Arial"/>
          <w:sz w:val="20"/>
          <w:szCs w:val="20"/>
        </w:rPr>
      </w:pPr>
      <w:r>
        <w:rPr>
          <w:rFonts w:eastAsia="Arial" w:cs="Arial" w:ascii="Arial" w:hAnsi="Arial"/>
          <w:b w:val="false"/>
          <w:color w:val="auto"/>
          <w:sz w:val="20"/>
          <w:szCs w:val="20"/>
          <w:lang w:val="ro-RO"/>
        </w:rPr>
        <w:t xml:space="preserve">de la același nivel:</w:t>
      </w:r>
    </w:p>
    <w:p>
      <w:pPr>
        <w:pStyle w:val="Normal"/>
        <w:keepNext w:val="false"/>
        <w:pageBreakBefore w:val="false"/>
        <w:widowControl/>
        <w:numPr>
          <w:ilvl w:val="2"/>
          <w:numId w:val="36"/>
        </w:numPr>
        <w:spacing w:before="0" w:after="40"/>
        <w:ind w:hanging="360" w:left="2160"/>
        <w:jc w:val="left"/>
        <w:rPr>
          <w:rFonts w:ascii="Arial" w:hAnsi="Arial" w:cs="Arial"/>
          <w:sz w:val="20"/>
          <w:szCs w:val="20"/>
        </w:rPr>
      </w:pPr>
      <w:r>
        <w:rPr>
          <w:rFonts w:eastAsia="Arial" w:cs="Arial" w:ascii="Arial" w:hAnsi="Arial"/>
          <w:b w:val="false"/>
          <w:color w:val="auto"/>
          <w:sz w:val="20"/>
          <w:szCs w:val="20"/>
          <w:lang w:val="ro-RO"/>
        </w:rPr>
        <w:t xml:space="preserve">prin dezechilibrare;</w:t>
      </w:r>
    </w:p>
    <w:p>
      <w:pPr>
        <w:pStyle w:val="Normal"/>
        <w:keepNext w:val="false"/>
        <w:pageBreakBefore w:val="false"/>
        <w:widowControl/>
        <w:numPr>
          <w:ilvl w:val="2"/>
          <w:numId w:val="36"/>
        </w:numPr>
        <w:spacing w:before="0" w:after="40"/>
        <w:ind w:hanging="360" w:left="2160"/>
        <w:jc w:val="left"/>
        <w:rPr>
          <w:rFonts w:ascii="Arial" w:hAnsi="Arial" w:cs="Arial"/>
          <w:sz w:val="20"/>
          <w:szCs w:val="20"/>
        </w:rPr>
      </w:pPr>
      <w:r>
        <w:rPr>
          <w:rFonts w:eastAsia="Arial" w:cs="Arial" w:ascii="Arial" w:hAnsi="Arial"/>
          <w:b w:val="false"/>
          <w:color w:val="auto"/>
          <w:sz w:val="20"/>
          <w:szCs w:val="20"/>
          <w:lang w:val="ro-RO"/>
        </w:rPr>
        <w:t xml:space="preserve">alunecare;</w:t>
      </w:r>
    </w:p>
    <w:p>
      <w:pPr>
        <w:pStyle w:val="Normal"/>
        <w:keepNext w:val="false"/>
        <w:pageBreakBefore w:val="false"/>
        <w:widowControl/>
        <w:numPr>
          <w:ilvl w:val="2"/>
          <w:numId w:val="36"/>
        </w:numPr>
        <w:spacing w:before="0" w:after="40"/>
        <w:ind w:hanging="360" w:left="2160"/>
        <w:jc w:val="left"/>
        <w:rPr>
          <w:rFonts w:ascii="Arial" w:hAnsi="Arial" w:cs="Arial"/>
          <w:sz w:val="20"/>
          <w:szCs w:val="20"/>
        </w:rPr>
      </w:pPr>
      <w:r>
        <w:rPr>
          <w:rFonts w:eastAsia="Arial" w:cs="Arial" w:ascii="Arial" w:hAnsi="Arial"/>
          <w:b w:val="false"/>
          <w:color w:val="auto"/>
          <w:sz w:val="20"/>
          <w:szCs w:val="20"/>
          <w:lang w:val="ro-RO"/>
        </w:rPr>
        <w:t xml:space="preserve">împiedicare;</w:t>
      </w:r>
    </w:p>
    <w:p>
      <w:pPr>
        <w:pStyle w:val="Normal"/>
        <w:keepNext w:val="true"/>
        <w:pageBreakBefore w:val="false"/>
        <w:widowControl/>
        <w:numPr>
          <w:ilvl w:val="1"/>
          <w:numId w:val="36"/>
        </w:numPr>
        <w:spacing w:before="0" w:after="40"/>
        <w:ind w:hanging="360" w:left="1800"/>
        <w:jc w:val="left"/>
        <w:rPr>
          <w:rFonts w:ascii="Arial" w:hAnsi="Arial" w:cs="Arial"/>
          <w:sz w:val="20"/>
          <w:szCs w:val="20"/>
        </w:rPr>
      </w:pPr>
      <w:r>
        <w:rPr>
          <w:rFonts w:eastAsia="Arial" w:cs="Arial" w:ascii="Arial" w:hAnsi="Arial"/>
          <w:b w:val="false"/>
          <w:color w:val="auto"/>
          <w:sz w:val="20"/>
          <w:szCs w:val="20"/>
          <w:lang w:val="ro-RO"/>
        </w:rPr>
        <w:t xml:space="preserve">de la înălțime:</w:t>
      </w:r>
    </w:p>
    <w:p>
      <w:pPr>
        <w:pStyle w:val="Normal"/>
        <w:keepNext w:val="false"/>
        <w:pageBreakBefore w:val="false"/>
        <w:widowControl/>
        <w:numPr>
          <w:ilvl w:val="2"/>
          <w:numId w:val="36"/>
        </w:numPr>
        <w:spacing w:before="0" w:after="40"/>
        <w:ind w:hanging="360" w:left="2160"/>
        <w:jc w:val="left"/>
        <w:rPr>
          <w:rFonts w:ascii="Arial" w:hAnsi="Arial" w:cs="Arial"/>
          <w:sz w:val="20"/>
          <w:szCs w:val="20"/>
        </w:rPr>
      </w:pPr>
      <w:r>
        <w:rPr>
          <w:rFonts w:eastAsia="Arial" w:cs="Arial" w:ascii="Arial" w:hAnsi="Arial"/>
          <w:b w:val="false"/>
          <w:color w:val="auto"/>
          <w:sz w:val="20"/>
          <w:szCs w:val="20"/>
          <w:lang w:val="ro-RO"/>
        </w:rPr>
        <w:t xml:space="preserve">prin pășire în gol;</w:t>
      </w:r>
    </w:p>
    <w:p>
      <w:pPr>
        <w:pStyle w:val="Normal"/>
        <w:keepNext w:val="false"/>
        <w:pageBreakBefore w:val="false"/>
        <w:widowControl/>
        <w:numPr>
          <w:ilvl w:val="2"/>
          <w:numId w:val="36"/>
        </w:numPr>
        <w:spacing w:before="0" w:after="40"/>
        <w:ind w:hanging="360" w:left="2160"/>
        <w:jc w:val="left"/>
        <w:rPr>
          <w:rFonts w:ascii="Arial" w:hAnsi="Arial" w:cs="Arial"/>
          <w:sz w:val="20"/>
          <w:szCs w:val="20"/>
        </w:rPr>
      </w:pPr>
      <w:r>
        <w:rPr>
          <w:rFonts w:eastAsia="Arial" w:cs="Arial" w:ascii="Arial" w:hAnsi="Arial"/>
          <w:b w:val="false"/>
          <w:color w:val="auto"/>
          <w:sz w:val="20"/>
          <w:szCs w:val="20"/>
          <w:lang w:val="ro-RO"/>
        </w:rPr>
        <w:t xml:space="preserve">prin dezechilibrare;</w:t>
      </w:r>
    </w:p>
    <w:p>
      <w:pPr>
        <w:pStyle w:val="Normal"/>
        <w:keepNext w:val="false"/>
        <w:pageBreakBefore w:val="false"/>
        <w:widowControl/>
        <w:numPr>
          <w:ilvl w:val="2"/>
          <w:numId w:val="36"/>
        </w:numPr>
        <w:spacing w:before="0" w:after="40"/>
        <w:ind w:hanging="360" w:left="2160"/>
        <w:jc w:val="left"/>
        <w:rPr>
          <w:rFonts w:ascii="Arial" w:hAnsi="Arial" w:cs="Arial"/>
          <w:sz w:val="20"/>
          <w:szCs w:val="20"/>
        </w:rPr>
      </w:pPr>
      <w:r>
        <w:rPr>
          <w:rFonts w:eastAsia="Arial" w:cs="Arial" w:ascii="Arial" w:hAnsi="Arial"/>
          <w:b w:val="false"/>
          <w:color w:val="auto"/>
          <w:sz w:val="20"/>
          <w:szCs w:val="20"/>
          <w:lang w:val="ro-RO"/>
        </w:rPr>
        <w:t xml:space="preserve">prin alunecare.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1.4. Comunicări accidentogene</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2. OMISIUNI</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2.1. Omiterea unor operații</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2.2. Neutilizarea mijloacelor de protecție</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color w:val="auto"/>
          <w:sz w:val="20"/>
          <w:szCs w:val="20"/>
          <w:lang w:val="ro-RO"/>
        </w:rPr>
        <w:t xml:space="preserve">B. SARCINA DE MUNCĂ</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1. CONȚINUT NECORESPUNZĂTOR AL SARCINII DE MUNCĂ ÎN RAPORT CU CERINȚELE DE SECURITATE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 Operații, reguli, procedee greșite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1.2. Absența unor operații</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1.3. Metode de muncă necorespunzătoare (succesiune greșită a operațiilor)</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2. SARCINA SUB/ SUPRADIMENSIONATĂ ÎN RAPORT CU CAPACITATEA EXECUTANTULUI</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2.1. Solicitare fizică: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efort static;</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poziții de lucru forțate sau vicioase;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efort dinamic.</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2.2. Solicitare psihică: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ritm de muncă mare;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decizii dificile în timp scurt;</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operații repetitive de ciclu scurt sau extrem de complex etc.;</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monotonia muncii.</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color w:val="auto"/>
          <w:sz w:val="20"/>
          <w:szCs w:val="20"/>
          <w:lang w:val="ro-RO"/>
        </w:rPr>
        <w:t xml:space="preserve">C. MIJLOACE DE PRODUCȚIE</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1. FACTORI DE RISC MECANIC</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 Mișcări periculoase</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1.1.1. Mișcări funcționale ale echipamentelor tehnice: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organe de mașini în mișcare;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curgeri de fluide;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deplasări ale mijloacelor de transport etc.</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1.1.2. Autodeclanșări sau autoblocări contraindicate ale mișcărilor funcționale ale echipamentelor tehnice sau ale fluidelor</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1.1.3. Deplasări sub efectul gravitației: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alunecare;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rostogolire;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rulare pe roți;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răsturnare;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cădere liberă;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scurgere liberă;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deversare;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surpare, prăbușire;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scufundare.</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1.1.4. Deplasări sub efectul propulsiei: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proiectare de corpuri sau particule;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deviere de la traiectoria normală;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balans;</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recul;</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șocuri excesive;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jet, erupție.</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1.2. Suprafețe sau contururi periculoase: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înțepătoare;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tăioase;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alunecoase;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abrazive;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adezive.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1.3. Recipiente sub presiune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1.4. Vibrații excesive ale echipamentelor tehnice</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2. FACTORI DE RISC TERMIC</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2.1. Temperatura ridicată a obiectelor sau suprafețelor</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2.2. Temperatura coborâtă a obiectelor sau suprafețelor</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2.3. Flăcări, flame</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3. FACTORI DE RISC ELECTRIC</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3.1. Curentul electric:</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atingere directă;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atingere indirectă;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tensiune de pas.</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4. FACTORI DE RISC CHIMIC</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4.1. Substanțe toxice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4.2. Substanțe caustice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4.3. Substanțe inflamabile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4.4. Substanțe explozive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4.5. Substanțe cancerigene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4.6. Substanțe radioactive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4.7. Substanțe mutagene</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5. FACTORI DE RISC BIOLOGIC</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5.1. Culturi sau preparate cu microorganisme: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bacterii;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virusuri;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richeți;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spirochete;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ciuperci;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protozoare.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5.2. Plante periculoase (exemplu: ciuperci otrăvitoare)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5.3. Animale periculoase (exemplu: șerpi veninoși)</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color w:val="auto"/>
          <w:sz w:val="20"/>
          <w:szCs w:val="20"/>
          <w:lang w:val="ro-RO"/>
        </w:rPr>
        <w:t xml:space="preserve">D. MEDIUL DE MUNCĂ</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1. FACTORI DE RISC FIZIC</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 Temperatura aerului: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ridicată;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scăzută.</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1.2. Umiditatea aerului: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ridicată;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scăzută.</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1.3. Curenți de aer</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1.4. Presiunea aerului: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ridicată;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scăzută.</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1.5. Aeroionizarea aerului</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1.6. Suprapresiune în adâncimea apelor</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1.7. Zgomot</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1.8. Ultrasunete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1.9. Vibrații</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1.10. Iluminat:</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nivel de iluminare scăzut;</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strălucire;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pâlpâire.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1.11. Radiații</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1.11.1. Electromagnetice: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infraroșii;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ultraviolete;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microunde;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 frecvență înaltă;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 frecvență medie;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 frecvență joasă;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laser.</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1.11.2. Ionizante: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alfa;</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beta;</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gama.</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1.12. Potențial electrostatic</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1.13. Calamități naturale (trăsnet, inundație, vânt, grindină, viscol, alunecări, surpări, prăbușiri de teren sau copaci, avalanșe, seisme etc.)</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1.14. Pulberi pneumoconiogene</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2. FACTORI DE RISC CHIMIC</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2.1. Gaze, vapori, aerosoli toxici sau caustici</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2.2. Pulberi în suspensie în aer, gaze sau vapori inflamabili sau explozivi</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3. FACTORI DE RISC BIOLOGIC</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3.1. Microorganisme în suspensie în aer:</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bacterii;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virusuri;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richeți;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spirochete;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ciuperci;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protozoare etc.</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4. CARACTERUL SPECIAL AL MEDIULUI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subteran;</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acvatic;</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subacvatic;</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mlăștinos;</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aerian;</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cosmic etc.</w:t>
      </w:r>
    </w:p>
    <w:p>
      <w:pPr>
        <w:pStyle w:val="Normal"/>
        <w:widowControl/>
        <w:spacing w:before="0" w:after="0"/>
        <w:ind w:hanging="0"/>
        <w:jc w:val="left"/>
        <w:rPr>
          <w:rFonts w:ascii="Arial" w:hAnsi="Arial" w:cs="Arial"/>
          <w:b/>
          <w:sz w:val="2"/>
          <w:szCs w:val="18"/>
        </w:rPr>
        <w:sectPr>
          <w:headerReference w:type="even" r:id="rId14"/>
          <w:headerReference w:type="default" r:id="rId15"/>
          <w:headerReference w:type="first" r:id="rId16"/>
          <w:footerReference w:type="even" r:id="rId17"/>
          <w:footerReference w:type="default" r:id="rId18"/>
          <w:footerReference w:type="first" r:id="rId19"/>
          <w:footnotePr>
            <w:numFmt w:val="decimal"/>
          </w:footnotePr>
          <w:type w:val="nextPage"/>
          <w:pgSz w:w="11906" w:h="16838"/>
          <w:pgMar w:left="1417" w:right="1134" w:gutter="0" w:header="680" w:top="2445" w:footer="680" w:bottom="1134"/>
          <w:pgNumType w:fmt="decimal"/>
          <w:formProt w:val="false"/>
          <w:textDirection w:val="lrTb"/>
          <w:docGrid w:type="default" w:linePitch="360" w:charSpace="0"/>
        </w:sect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pacing w:val="28"/>
          <w:sz w:val="18"/>
          <w:szCs w:val="18"/>
        </w:rPr>
      </w:pPr>
      <w:r>
        <w:rPr>
          <w:rFonts w:eastAsia="Arial" w:cs="Arial" w:ascii="Arial" w:hAnsi="Arial"/>
          <w:b/>
          <w:color w:val="auto"/>
          <w:spacing w:val="0"/>
          <w:w w:val="100"/>
          <w:sz w:val="20"/>
          <w:szCs w:val="20"/>
          <w:lang w:val="ro-RO"/>
        </w:rPr>
        <w:t>Anexa Nr. 2.</w:t>
      </w:r>
    </w:p>
    <w:p>
      <w:pPr>
        <w:pStyle w:val="Normal"/>
        <w:widowControl/>
        <w:spacing w:before="0" w:after="120"/>
        <w:ind w:hanging="0"/>
        <w:jc w:val="left"/>
        <w:rPr>
          <w:rFonts w:ascii="Arial" w:hAnsi="Arial" w:cs="Arial"/>
          <w:b/>
          <w:spacing w:val="28"/>
          <w:sz w:val="18"/>
          <w:szCs w:val="18"/>
        </w:rPr>
      </w:pPr>
      <w:r>
        <w:rPr>
          <w:rFonts w:eastAsia="Arial" w:cs="Arial" w:ascii="Arial" w:hAnsi="Arial"/>
          <w:b/>
          <w:color w:val="auto"/>
          <w:spacing w:val="0"/>
          <w:w w:val="100"/>
          <w:sz w:val="20"/>
          <w:szCs w:val="20"/>
          <w:lang w:val="ro-RO"/>
        </w:rPr>
        <w:t xml:space="preserve">LISTA DE CONSECINȚE POSIBILE </w:t>
      </w:r>
      <w:r>
        <w:rPr>
          <w:rFonts w:eastAsia="Arial" w:cs="Arial" w:ascii="Arial" w:hAnsi="Arial"/>
          <w:b/>
          <w:color w:val="auto"/>
          <w:spacing w:val="0"/>
          <w:w w:val="100"/>
          <w:sz w:val="20"/>
          <w:szCs w:val="20"/>
          <w:lang w:val="ro-RO"/>
        </w:rPr>
        <w:t>ALE ACȚIUNII FACTORILOR DE RISC</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ASUPRA ORGANISMULUI UMAN</w:t>
      </w:r>
    </w:p>
    <w:p>
      <w:pPr>
        <w:pStyle w:val="Normal"/>
        <w:keepNext w:val="true"/>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tbl>
      <w:tblPr>
        <w:tblW w:w="5000" w:type="pct"/>
        <w:jc w:val="left"/>
        <w:tblInd w:w="123" w:type="dxa"/>
        <w:tblLayout w:type="fixed"/>
        <w:tblCellMar>
          <w:top w:w="17" w:type="dxa"/>
          <w:left w:w="108" w:type="dxa"/>
          <w:bottom w:w="17" w:type="dxa"/>
          <w:right w:w="108" w:type="dxa"/>
        </w:tblCellMar>
        <w:tblLook w:noHBand="0" w:noVBand="0" w:firstColumn="0" w:lastRow="0" w:lastColumn="0" w:firstRow="0" w:val="0000"/>
      </w:tblPr>
      <w:tblGrid>
        <w:gridCol w:w="605"/>
        <w:gridCol w:w="2836"/>
        <w:gridCol w:w="566"/>
        <w:gridCol w:w="564"/>
        <w:gridCol w:w="380"/>
        <w:gridCol w:w="574"/>
        <w:gridCol w:w="570"/>
        <w:gridCol w:w="569"/>
        <w:gridCol w:w="760"/>
        <w:gridCol w:w="569"/>
        <w:gridCol w:w="567"/>
        <w:gridCol w:w="570"/>
        <w:gridCol w:w="380"/>
        <w:gridCol w:w="380"/>
        <w:gridCol w:w="569"/>
        <w:gridCol w:w="449"/>
        <w:gridCol w:w="505"/>
        <w:gridCol w:w="593"/>
        <w:gridCol w:w="377"/>
        <w:gridCol w:w="380"/>
        <w:gridCol w:w="381"/>
        <w:gridCol w:w="380"/>
        <w:gridCol w:w="381"/>
        <w:gridCol w:w="382"/>
      </w:tblGrid>
      <w:tr>
        <w:trPr>
          <w:cantSplit/>
          <w:tblHeader w:val="true"/>
          <w:trHeight w:val="196" w:hRule="atLeast"/>
        </w:trPr>
        <w:tc>
          <w:tcPr>
            <w:tcW w:w="605" w:type="dxa"/>
            <w:vMerge w:val="restart"/>
            <w:tcBorders>
              <w:top w:val="single" w:sz="12"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Nr.</w:t>
            </w:r>
          </w:p>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crt.</w:t>
            </w:r>
          </w:p>
        </w:tc>
        <w:tc>
          <w:tcPr>
            <w:tcW w:w="2836" w:type="dxa"/>
            <w:vMerge w:val="restart"/>
            <w:tcBorders>
              <w:top w:val="single" w:sz="12"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CONSECINȚE</w:t>
            </w:r>
          </w:p>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POSIBILE</w:t>
            </w:r>
          </w:p>
        </w:tc>
        <w:tc>
          <w:tcPr>
            <w:tcW w:w="10846" w:type="dxa"/>
            <w:gridSpan w:val="22"/>
            <w:tcBorders>
              <w:top w:val="single" w:sz="12" w:space="0" w:color="000000"/>
              <w:left w:val="single" w:sz="6" w:space="0" w:color="000000"/>
              <w:right w:val="single" w:sz="12"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LOCALIZAREA CONSECINȚELOR</w:t>
            </w:r>
          </w:p>
        </w:tc>
      </w:tr>
      <w:tr>
        <w:trPr>
          <w:cantSplit/>
          <w:tblHeader w:val="true"/>
          <w:trHeight w:val="168" w:hRule="atLeast"/>
        </w:trPr>
        <w:tc>
          <w:tcPr>
            <w:tcW w:w="605" w:type="dxa"/>
            <w:vMerge w:val="continue"/>
            <w:tcBorders>
              <w:left w:val="single" w:sz="12"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566"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Cutie craniană</w:t>
            </w:r>
          </w:p>
        </w:tc>
        <w:tc>
          <w:tcPr>
            <w:tcW w:w="564"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Cutie toracică</w:t>
            </w:r>
          </w:p>
        </w:tc>
        <w:tc>
          <w:tcPr>
            <w:tcW w:w="380"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Abdomen</w:t>
            </w:r>
          </w:p>
        </w:tc>
        <w:tc>
          <w:tcPr>
            <w:tcW w:w="574"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Tegument</w:t>
            </w:r>
          </w:p>
        </w:tc>
        <w:tc>
          <w:tcPr>
            <w:tcW w:w="570"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Aparat respirator</w:t>
            </w:r>
          </w:p>
        </w:tc>
        <w:tc>
          <w:tcPr>
            <w:tcW w:w="569"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Aparat cardiovascular</w:t>
            </w:r>
          </w:p>
        </w:tc>
        <w:tc>
          <w:tcPr>
            <w:tcW w:w="760"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ind w:hanging="103"/>
              <w:jc w:val="center"/>
              <w:rPr>
                <w:rFonts w:ascii="Arial" w:hAnsi="Arial" w:cs="Arial"/>
                <w:b/>
                <w:sz w:val="18"/>
                <w:szCs w:val="18"/>
              </w:rPr>
            </w:pPr>
            <w:r>
              <w:rPr>
                <w:rFonts w:eastAsia="Arial" w:cs="Arial" w:ascii="Arial" w:hAnsi="Arial"/>
                <w:b/>
                <w:color w:val="auto"/>
                <w:spacing w:val="0"/>
                <w:w w:val="100"/>
                <w:sz w:val="16"/>
                <w:szCs w:val="16"/>
                <w:lang w:val="ro-RO"/>
              </w:rPr>
              <w:t>Aparat digestiv</w:t>
            </w:r>
          </w:p>
        </w:tc>
        <w:tc>
          <w:tcPr>
            <w:tcW w:w="569"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Aparat renal</w:t>
            </w:r>
          </w:p>
        </w:tc>
        <w:tc>
          <w:tcPr>
            <w:tcW w:w="3420" w:type="dxa"/>
            <w:gridSpan w:val="7"/>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Sistem osteoarticular</w:t>
            </w:r>
          </w:p>
        </w:tc>
        <w:tc>
          <w:tcPr>
            <w:tcW w:w="593"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ind w:hanging="25"/>
              <w:jc w:val="center"/>
              <w:rPr>
                <w:rFonts w:ascii="Arial" w:hAnsi="Arial" w:cs="Arial"/>
                <w:b/>
                <w:sz w:val="18"/>
                <w:szCs w:val="18"/>
              </w:rPr>
            </w:pPr>
            <w:r>
              <w:rPr>
                <w:rFonts w:eastAsia="Arial" w:cs="Arial" w:ascii="Arial" w:hAnsi="Arial"/>
                <w:b/>
                <w:color w:val="auto"/>
                <w:spacing w:val="0"/>
                <w:w w:val="100"/>
                <w:sz w:val="16"/>
                <w:szCs w:val="16"/>
                <w:lang w:val="ro-RO"/>
              </w:rPr>
              <w:t>Sistem</w:t>
            </w:r>
          </w:p>
          <w:p>
            <w:pPr>
              <w:pStyle w:val="Normal"/>
              <w:widowControl/>
              <w:spacing w:before="0" w:after="0"/>
              <w:ind w:hanging="25"/>
              <w:jc w:val="center"/>
              <w:rPr>
                <w:rFonts w:ascii="Arial" w:hAnsi="Arial" w:cs="Arial"/>
                <w:b/>
                <w:sz w:val="18"/>
                <w:szCs w:val="18"/>
              </w:rPr>
            </w:pPr>
            <w:r>
              <w:rPr>
                <w:rFonts w:eastAsia="Arial" w:cs="Arial" w:ascii="Arial" w:hAnsi="Arial"/>
                <w:b/>
                <w:color w:val="auto"/>
                <w:spacing w:val="0"/>
                <w:w w:val="100"/>
                <w:sz w:val="16"/>
                <w:szCs w:val="16"/>
                <w:lang w:val="ro-RO"/>
              </w:rPr>
              <w:t>muscular</w:t>
            </w:r>
          </w:p>
        </w:tc>
        <w:tc>
          <w:tcPr>
            <w:tcW w:w="1518" w:type="dxa"/>
            <w:gridSpan w:val="4"/>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Organe de simț</w:t>
            </w:r>
          </w:p>
        </w:tc>
        <w:tc>
          <w:tcPr>
            <w:tcW w:w="381"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Sistem nervos</w:t>
            </w:r>
          </w:p>
        </w:tc>
        <w:tc>
          <w:tcPr>
            <w:tcW w:w="382" w:type="dxa"/>
            <w:vMerge w:val="restart"/>
            <w:tcBorders>
              <w:top w:val="single" w:sz="6" w:space="0" w:color="000000"/>
              <w:left w:val="single" w:sz="6" w:space="0" w:color="000000"/>
              <w:bottom w:val="single" w:sz="6" w:space="0" w:color="000000"/>
              <w:right w:val="single" w:sz="12"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Multiplă</w:t>
            </w:r>
          </w:p>
        </w:tc>
      </w:tr>
      <w:tr>
        <w:trPr>
          <w:cantSplit/>
          <w:tblHeader w:val="true"/>
          <w:trHeight w:val="140" w:hRule="atLeast"/>
        </w:trPr>
        <w:tc>
          <w:tcPr>
            <w:tcW w:w="605" w:type="dxa"/>
            <w:vMerge w:val="continue"/>
            <w:tcBorders>
              <w:left w:val="single" w:sz="12"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6"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564"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80"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574"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570" w:type="dxa"/>
            <w:vMerge w:val="continue"/>
            <w:tcBorders>
              <w:left w:val="single" w:sz="6" w:space="0" w:color="000000"/>
              <w:right w:val="single" w:sz="6" w:space="0" w:color="000000"/>
            </w:tcBorders>
            <w:tcMar>
              <w:top w:w="0" w:type="dxa"/>
              <w:bottom w:w="0" w:type="dxa"/>
            </w:tcMar>
            <w:vAlign w:val="center"/>
          </w:tcPr>
          <w:p>
            <w:pPr>
              <w:pStyle w:val="Normal"/>
              <w:ind w:hanging="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569"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760"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569"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567"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Coloana</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vertebrală</w:t>
            </w:r>
          </w:p>
        </w:tc>
        <w:tc>
          <w:tcPr>
            <w:tcW w:w="1899" w:type="dxa"/>
            <w:gridSpan w:val="4"/>
            <w:tcBorders>
              <w:top w:val="single" w:sz="6" w:space="0" w:color="000000"/>
              <w:left w:val="single" w:sz="6" w:space="0" w:color="000000"/>
              <w:bottom w:val="single" w:sz="6" w:space="0" w:color="000000"/>
              <w:right w:val="single" w:sz="6" w:space="0" w:color="000000"/>
            </w:tcBorders>
            <w:shd w:color="auto" w:fill="F3F3F3" w:val="clear"/>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Membru superior</w:t>
            </w:r>
          </w:p>
        </w:tc>
        <w:tc>
          <w:tcPr>
            <w:tcW w:w="954" w:type="dxa"/>
            <w:gridSpan w:val="2"/>
            <w:tcBorders>
              <w:top w:val="single" w:sz="6" w:space="0" w:color="000000"/>
              <w:left w:val="single" w:sz="6" w:space="0" w:color="000000"/>
              <w:bottom w:val="single" w:sz="6" w:space="0" w:color="000000"/>
              <w:right w:val="single" w:sz="6" w:space="0" w:color="000000"/>
            </w:tcBorders>
            <w:shd w:color="auto" w:fill="F3F3F3" w:val="clear"/>
            <w:vAlign w:val="center"/>
          </w:tcPr>
          <w:p>
            <w:pPr>
              <w:pStyle w:val="Normal"/>
              <w:widowControl/>
              <w:spacing w:before="0" w:after="0"/>
              <w:jc w:val="center"/>
              <w:rPr>
                <w:rFonts w:ascii="Arial" w:hAnsi="Arial" w:cs="Arial"/>
                <w:b/>
                <w:sz w:val="16"/>
              </w:rPr>
            </w:pPr>
            <w:r>
              <w:rPr>
                <w:rFonts w:eastAsia="Arial" w:cs="Arial" w:ascii="Arial" w:hAnsi="Arial"/>
                <w:b/>
                <w:color w:val="auto"/>
                <w:spacing w:val="0"/>
                <w:w w:val="100"/>
                <w:sz w:val="16"/>
                <w:szCs w:val="16"/>
                <w:lang w:val="ro-RO"/>
              </w:rPr>
              <w:t>Membru inferior</w:t>
            </w:r>
          </w:p>
        </w:tc>
        <w:tc>
          <w:tcPr>
            <w:tcW w:w="593" w:type="dxa"/>
            <w:vMerge w:val="continue"/>
            <w:tcBorders>
              <w:left w:val="single" w:sz="6" w:space="0" w:color="000000"/>
              <w:right w:val="single" w:sz="6" w:space="0" w:color="000000"/>
            </w:tcBorders>
            <w:tcMar>
              <w:top w:w="0" w:type="dxa"/>
              <w:bottom w:w="0" w:type="dxa"/>
            </w:tcMar>
            <w:vAlign w:val="center"/>
          </w:tcPr>
          <w:p>
            <w:pPr>
              <w:pStyle w:val="Normal"/>
              <w:ind w:hanging="126"/>
              <w:jc w:val="center"/>
              <w:rPr>
                <w:rFonts w:ascii="Arial" w:hAnsi="Arial" w:cs="Arial"/>
                <w:b/>
                <w:sz w:val="20"/>
              </w:rPr>
            </w:pPr>
            <w:r>
              <w:rPr>
                <w:rFonts w:eastAsia="Arial" w:cs="Arial" w:ascii="Arial" w:hAnsi="Arial"/>
                <w:b/>
                <w:color w:val="auto"/>
                <w:spacing w:val="0"/>
                <w:w w:val="100"/>
                <w:sz w:val="20"/>
                <w:szCs w:val="20"/>
                <w:lang w:val="ro-RO"/>
              </w:rPr>
            </w:r>
          </w:p>
        </w:tc>
        <w:tc>
          <w:tcPr>
            <w:tcW w:w="377"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Ochi</w:t>
            </w:r>
          </w:p>
        </w:tc>
        <w:tc>
          <w:tcPr>
            <w:tcW w:w="380"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Nas</w:t>
            </w:r>
          </w:p>
        </w:tc>
        <w:tc>
          <w:tcPr>
            <w:tcW w:w="761" w:type="dxa"/>
            <w:gridSpan w:val="2"/>
            <w:tcBorders>
              <w:top w:val="single" w:sz="6" w:space="0" w:color="000000"/>
              <w:left w:val="single" w:sz="6" w:space="0" w:color="000000"/>
              <w:bottom w:val="single" w:sz="6" w:space="0" w:color="000000"/>
              <w:right w:val="single" w:sz="6"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Ureche</w:t>
            </w:r>
          </w:p>
        </w:tc>
        <w:tc>
          <w:tcPr>
            <w:tcW w:w="381"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382" w:type="dxa"/>
            <w:vMerge w:val="continue"/>
            <w:tcBorders>
              <w:left w:val="single" w:sz="6" w:space="0" w:color="000000"/>
              <w:right w:val="single" w:sz="12"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r>
      <w:tr>
        <w:trPr>
          <w:cantSplit/>
          <w:tblHeader w:val="true"/>
          <w:trHeight w:val="560" w:hRule="atLeast"/>
        </w:trPr>
        <w:tc>
          <w:tcPr>
            <w:tcW w:w="605" w:type="dxa"/>
            <w:vMerge w:val="continue"/>
            <w:tcBorders>
              <w:left w:val="single" w:sz="12"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6"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564"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380"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574"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570" w:type="dxa"/>
            <w:vMerge w:val="continue"/>
            <w:tcBorders>
              <w:left w:val="single" w:sz="6" w:space="0" w:color="000000"/>
              <w:right w:val="single" w:sz="6" w:space="0" w:color="000000"/>
            </w:tcBorders>
            <w:tcMar>
              <w:top w:w="0" w:type="dxa"/>
              <w:bottom w:w="0" w:type="dxa"/>
            </w:tcMar>
            <w:vAlign w:val="center"/>
          </w:tcPr>
          <w:p>
            <w:pPr>
              <w:pStyle w:val="Normal"/>
              <w:ind w:hanging="108"/>
              <w:jc w:val="center"/>
              <w:rPr>
                <w:rFonts w:ascii="Arial" w:hAnsi="Arial" w:cs="Arial"/>
                <w:b/>
                <w:sz w:val="20"/>
              </w:rPr>
            </w:pPr>
            <w:r>
              <w:rPr>
                <w:rFonts w:eastAsia="Arial" w:cs="Arial" w:ascii="Arial" w:hAnsi="Arial"/>
                <w:b/>
                <w:color w:val="auto"/>
                <w:spacing w:val="0"/>
                <w:w w:val="100"/>
                <w:sz w:val="20"/>
                <w:szCs w:val="20"/>
                <w:lang w:val="ro-RO"/>
              </w:rPr>
            </w:r>
          </w:p>
        </w:tc>
        <w:tc>
          <w:tcPr>
            <w:tcW w:w="569"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760"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569"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567"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rPr>
            </w:pPr>
            <w:r>
              <w:rPr>
                <w:rFonts w:eastAsia="Arial" w:cs="Arial" w:ascii="Arial" w:hAnsi="Arial"/>
                <w:b/>
                <w:color w:val="auto"/>
                <w:spacing w:val="0"/>
                <w:w w:val="100"/>
                <w:sz w:val="20"/>
                <w:szCs w:val="20"/>
                <w:lang w:val="ro-RO"/>
              </w:rPr>
            </w:r>
          </w:p>
        </w:tc>
        <w:tc>
          <w:tcPr>
            <w:tcW w:w="950" w:type="dxa"/>
            <w:gridSpan w:val="2"/>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Braț</w:t>
            </w:r>
          </w:p>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Antebraț</w:t>
            </w:r>
          </w:p>
        </w:tc>
        <w:tc>
          <w:tcPr>
            <w:tcW w:w="949" w:type="dxa"/>
            <w:gridSpan w:val="2"/>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Palmă</w:t>
            </w:r>
          </w:p>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Degete</w:t>
            </w:r>
          </w:p>
        </w:tc>
        <w:tc>
          <w:tcPr>
            <w:tcW w:w="449" w:type="dxa"/>
            <w:vMerge w:val="restart"/>
            <w:tcBorders>
              <w:top w:val="single" w:sz="6" w:space="0" w:color="000000"/>
              <w:left w:val="single" w:sz="6" w:space="0" w:color="000000"/>
              <w:bottom w:val="single" w:sz="6" w:space="0" w:color="000000"/>
              <w:right w:val="single" w:sz="6" w:space="0" w:color="000000"/>
            </w:tcBorders>
            <w:tcMar>
              <w:left w:w="28" w:type="dxa"/>
              <w:right w:w="28" w:type="dxa"/>
            </w:tcMar>
            <w:textDirection w:val="btLr"/>
            <w:vAlign w:val="center"/>
          </w:tcPr>
          <w:p>
            <w:pPr>
              <w:pStyle w:val="Normal"/>
              <w:widowControl/>
              <w:spacing w:before="0" w:after="0"/>
              <w:jc w:val="center"/>
              <w:rPr>
                <w:rFonts w:ascii="Arial" w:hAnsi="Arial" w:cs="Arial"/>
                <w:b/>
                <w:sz w:val="14"/>
              </w:rPr>
            </w:pPr>
            <w:r>
              <w:rPr>
                <w:rFonts w:eastAsia="Arial" w:cs="Arial" w:ascii="Arial" w:hAnsi="Arial"/>
                <w:b/>
                <w:color w:val="auto"/>
                <w:spacing w:val="0"/>
                <w:w w:val="100"/>
                <w:sz w:val="14"/>
                <w:szCs w:val="14"/>
                <w:lang w:val="ro-RO"/>
              </w:rPr>
              <w:t>Coapsă</w:t>
            </w:r>
          </w:p>
          <w:p>
            <w:pPr>
              <w:pStyle w:val="Normal"/>
              <w:widowControl/>
              <w:spacing w:before="0" w:after="0"/>
              <w:jc w:val="center"/>
              <w:rPr>
                <w:rFonts w:ascii="Arial" w:hAnsi="Arial" w:cs="Arial"/>
                <w:b/>
                <w:sz w:val="14"/>
              </w:rPr>
            </w:pPr>
            <w:r>
              <w:rPr>
                <w:rFonts w:eastAsia="Arial" w:cs="Arial" w:ascii="Arial" w:hAnsi="Arial"/>
                <w:b/>
                <w:color w:val="auto"/>
                <w:spacing w:val="0"/>
                <w:w w:val="100"/>
                <w:sz w:val="14"/>
                <w:szCs w:val="14"/>
                <w:lang w:val="ro-RO"/>
              </w:rPr>
              <w:t>Gambă</w:t>
            </w:r>
          </w:p>
        </w:tc>
        <w:tc>
          <w:tcPr>
            <w:tcW w:w="505"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6"/>
              </w:rPr>
            </w:pPr>
            <w:r>
              <w:rPr>
                <w:rFonts w:eastAsia="Arial" w:cs="Arial" w:ascii="Arial" w:hAnsi="Arial"/>
                <w:b/>
                <w:color w:val="auto"/>
                <w:spacing w:val="0"/>
                <w:w w:val="100"/>
                <w:sz w:val="16"/>
                <w:szCs w:val="16"/>
                <w:lang w:val="ro-RO"/>
              </w:rPr>
              <w:t>Picior</w:t>
            </w:r>
          </w:p>
        </w:tc>
        <w:tc>
          <w:tcPr>
            <w:tcW w:w="593" w:type="dxa"/>
            <w:vMerge w:val="continue"/>
            <w:tcBorders>
              <w:left w:val="single" w:sz="6" w:space="0" w:color="000000"/>
              <w:right w:val="single" w:sz="6" w:space="0" w:color="000000"/>
            </w:tcBorders>
            <w:tcMar>
              <w:top w:w="0" w:type="dxa"/>
              <w:bottom w:w="0" w:type="dxa"/>
            </w:tcMar>
            <w:vAlign w:val="center"/>
          </w:tcPr>
          <w:p>
            <w:pPr>
              <w:pStyle w:val="Normal"/>
              <w:ind w:hanging="126"/>
              <w:jc w:val="center"/>
              <w:rPr>
                <w:rFonts w:ascii="Arial" w:hAnsi="Arial" w:cs="Arial"/>
                <w:b/>
                <w:sz w:val="20"/>
              </w:rPr>
            </w:pPr>
            <w:r>
              <w:rPr>
                <w:rFonts w:eastAsia="Arial" w:cs="Arial" w:ascii="Arial" w:hAnsi="Arial"/>
                <w:b/>
                <w:color w:val="auto"/>
                <w:spacing w:val="0"/>
                <w:w w:val="100"/>
                <w:sz w:val="20"/>
                <w:szCs w:val="20"/>
                <w:lang w:val="ro-RO"/>
              </w:rPr>
            </w:r>
          </w:p>
        </w:tc>
        <w:tc>
          <w:tcPr>
            <w:tcW w:w="377"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80"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81"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Internă</w:t>
            </w:r>
          </w:p>
        </w:tc>
        <w:tc>
          <w:tcPr>
            <w:tcW w:w="380"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Externă</w:t>
            </w:r>
          </w:p>
        </w:tc>
        <w:tc>
          <w:tcPr>
            <w:tcW w:w="381"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382" w:type="dxa"/>
            <w:vMerge w:val="continue"/>
            <w:tcBorders>
              <w:left w:val="single" w:sz="6" w:space="0" w:color="000000"/>
              <w:right w:val="single" w:sz="12" w:space="0" w:color="000000"/>
            </w:tcBorders>
            <w:tcMar>
              <w:top w:w="0" w:type="dxa"/>
              <w:bottom w:w="0" w:type="dxa"/>
            </w:tcMar>
            <w:vAlign w:val="center"/>
          </w:tcPr>
          <w:p>
            <w:pPr>
              <w:pStyle w:val="Normal"/>
              <w:jc w:val="center"/>
              <w:rPr>
                <w:rFonts w:ascii="Arial" w:hAnsi="Arial" w:cs="Arial"/>
              </w:rPr>
            </w:pPr>
            <w:r>
              <w:rPr>
                <w:rFonts w:eastAsia="Arial" w:cs="Arial" w:ascii="Arial" w:hAnsi="Arial"/>
                <w:color w:val="auto"/>
                <w:spacing w:val="0"/>
                <w:w w:val="100"/>
                <w:sz w:val="20"/>
                <w:szCs w:val="20"/>
                <w:lang w:val="ro-RO"/>
              </w:rPr>
            </w:r>
          </w:p>
        </w:tc>
      </w:tr>
      <w:tr>
        <w:trPr>
          <w:cantSplit/>
          <w:tblHeader w:val="true"/>
          <w:trHeight w:val="62" w:hRule="atLeast"/>
        </w:trPr>
        <w:tc>
          <w:tcPr>
            <w:tcW w:w="605" w:type="dxa"/>
            <w:vMerge w:val="continue"/>
            <w:tcBorders>
              <w:left w:val="single" w:sz="12"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6"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4"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380"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74"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70"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9"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760"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9"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7"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D</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S</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ind w:hanging="108"/>
              <w:jc w:val="center"/>
              <w:rPr>
                <w:rFonts w:ascii="Arial" w:hAnsi="Arial" w:cs="Arial"/>
                <w:b/>
                <w:sz w:val="16"/>
                <w:szCs w:val="16"/>
              </w:rPr>
            </w:pPr>
            <w:r>
              <w:rPr>
                <w:rFonts w:eastAsia="Arial" w:cs="Arial" w:ascii="Arial" w:hAnsi="Arial"/>
                <w:b/>
                <w:color w:val="auto"/>
                <w:spacing w:val="0"/>
                <w:w w:val="100"/>
                <w:sz w:val="16"/>
                <w:szCs w:val="16"/>
                <w:lang w:val="ro-RO"/>
              </w:rPr>
              <w:t>D</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S</w:t>
            </w:r>
          </w:p>
        </w:tc>
        <w:tc>
          <w:tcPr>
            <w:tcW w:w="449"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505"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593"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377"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380"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381"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380"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381"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382" w:type="dxa"/>
            <w:vMerge w:val="continue"/>
            <w:tcBorders>
              <w:left w:val="single" w:sz="6" w:space="0" w:color="000000"/>
              <w:bottom w:val="single" w:sz="6" w:space="0" w:color="000000"/>
              <w:right w:val="single" w:sz="12"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r>
      <w:tr>
        <w:trPr>
          <w:cantSplit/>
          <w:tblHeader w:val="true"/>
          <w:trHeight w:val="257" w:hRule="atLeast"/>
        </w:trPr>
        <w:tc>
          <w:tcPr>
            <w:tcW w:w="605" w:type="dxa"/>
            <w:tcBorders>
              <w:top w:val="single" w:sz="6" w:space="0" w:color="000000"/>
              <w:left w:val="single" w:sz="12"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0</w:t>
            </w:r>
          </w:p>
        </w:tc>
        <w:tc>
          <w:tcPr>
            <w:tcW w:w="2836"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w:t>
            </w:r>
          </w:p>
        </w:tc>
        <w:tc>
          <w:tcPr>
            <w:tcW w:w="566"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w:t>
            </w:r>
          </w:p>
        </w:tc>
        <w:tc>
          <w:tcPr>
            <w:tcW w:w="564"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w:t>
            </w:r>
          </w:p>
        </w:tc>
        <w:tc>
          <w:tcPr>
            <w:tcW w:w="38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w:t>
            </w:r>
          </w:p>
        </w:tc>
        <w:tc>
          <w:tcPr>
            <w:tcW w:w="574"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w:t>
            </w:r>
          </w:p>
        </w:tc>
        <w:tc>
          <w:tcPr>
            <w:tcW w:w="57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w:t>
            </w:r>
          </w:p>
        </w:tc>
        <w:tc>
          <w:tcPr>
            <w:tcW w:w="569"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w:t>
            </w:r>
          </w:p>
        </w:tc>
        <w:tc>
          <w:tcPr>
            <w:tcW w:w="76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8</w:t>
            </w:r>
          </w:p>
        </w:tc>
        <w:tc>
          <w:tcPr>
            <w:tcW w:w="569"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9</w:t>
            </w:r>
          </w:p>
        </w:tc>
        <w:tc>
          <w:tcPr>
            <w:tcW w:w="567"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10</w:t>
            </w:r>
          </w:p>
        </w:tc>
        <w:tc>
          <w:tcPr>
            <w:tcW w:w="57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hanging="108" w:right="-99"/>
              <w:jc w:val="center"/>
              <w:rPr>
                <w:rFonts w:ascii="Arial" w:hAnsi="Arial" w:cs="Arial"/>
                <w:b/>
                <w:sz w:val="20"/>
              </w:rPr>
            </w:pPr>
            <w:r>
              <w:rPr>
                <w:rFonts w:eastAsia="Arial" w:cs="Arial" w:ascii="Arial" w:hAnsi="Arial"/>
                <w:b/>
                <w:color w:val="auto"/>
                <w:spacing w:val="0"/>
                <w:w w:val="100"/>
                <w:sz w:val="16"/>
                <w:szCs w:val="16"/>
                <w:lang w:val="ro-RO"/>
              </w:rPr>
              <w:t>11</w:t>
            </w:r>
          </w:p>
        </w:tc>
        <w:tc>
          <w:tcPr>
            <w:tcW w:w="38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hanging="108" w:right="-108"/>
              <w:jc w:val="center"/>
              <w:rPr>
                <w:rFonts w:ascii="Arial" w:hAnsi="Arial" w:cs="Arial"/>
                <w:b/>
                <w:sz w:val="20"/>
              </w:rPr>
            </w:pPr>
            <w:r>
              <w:rPr>
                <w:rFonts w:eastAsia="Arial" w:cs="Arial" w:ascii="Arial" w:hAnsi="Arial"/>
                <w:b/>
                <w:color w:val="auto"/>
                <w:spacing w:val="0"/>
                <w:w w:val="100"/>
                <w:sz w:val="16"/>
                <w:szCs w:val="16"/>
                <w:lang w:val="ro-RO"/>
              </w:rPr>
              <w:t>12</w:t>
            </w:r>
          </w:p>
        </w:tc>
        <w:tc>
          <w:tcPr>
            <w:tcW w:w="38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hanging="108" w:right="-108"/>
              <w:jc w:val="center"/>
              <w:rPr>
                <w:rFonts w:ascii="Arial" w:hAnsi="Arial" w:cs="Arial"/>
                <w:b/>
                <w:sz w:val="20"/>
              </w:rPr>
            </w:pPr>
            <w:r>
              <w:rPr>
                <w:rFonts w:eastAsia="Arial" w:cs="Arial" w:ascii="Arial" w:hAnsi="Arial"/>
                <w:b/>
                <w:color w:val="auto"/>
                <w:spacing w:val="0"/>
                <w:w w:val="100"/>
                <w:sz w:val="16"/>
                <w:szCs w:val="16"/>
                <w:lang w:val="ro-RO"/>
              </w:rPr>
              <w:t>13</w:t>
            </w:r>
          </w:p>
        </w:tc>
        <w:tc>
          <w:tcPr>
            <w:tcW w:w="569"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hanging="108" w:right="-108"/>
              <w:jc w:val="center"/>
              <w:rPr>
                <w:rFonts w:ascii="Arial" w:hAnsi="Arial" w:cs="Arial"/>
                <w:b/>
                <w:sz w:val="20"/>
              </w:rPr>
            </w:pPr>
            <w:r>
              <w:rPr>
                <w:rFonts w:eastAsia="Arial" w:cs="Arial" w:ascii="Arial" w:hAnsi="Arial"/>
                <w:b/>
                <w:color w:val="auto"/>
                <w:spacing w:val="0"/>
                <w:w w:val="100"/>
                <w:sz w:val="16"/>
                <w:szCs w:val="16"/>
                <w:lang w:val="ro-RO"/>
              </w:rPr>
              <w:t>14</w:t>
            </w:r>
          </w:p>
        </w:tc>
        <w:tc>
          <w:tcPr>
            <w:tcW w:w="449"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15</w:t>
            </w:r>
          </w:p>
        </w:tc>
        <w:tc>
          <w:tcPr>
            <w:tcW w:w="505"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hanging="86" w:right="-108"/>
              <w:jc w:val="center"/>
              <w:rPr>
                <w:rFonts w:ascii="Arial" w:hAnsi="Arial" w:cs="Arial"/>
                <w:b/>
                <w:sz w:val="20"/>
              </w:rPr>
            </w:pPr>
            <w:r>
              <w:rPr>
                <w:rFonts w:eastAsia="Arial" w:cs="Arial" w:ascii="Arial" w:hAnsi="Arial"/>
                <w:b/>
                <w:color w:val="auto"/>
                <w:spacing w:val="0"/>
                <w:w w:val="100"/>
                <w:sz w:val="16"/>
                <w:szCs w:val="16"/>
                <w:lang w:val="ro-RO"/>
              </w:rPr>
              <w:t>16</w:t>
            </w:r>
          </w:p>
        </w:tc>
        <w:tc>
          <w:tcPr>
            <w:tcW w:w="593"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17</w:t>
            </w:r>
          </w:p>
        </w:tc>
        <w:tc>
          <w:tcPr>
            <w:tcW w:w="377"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left="-148" w:right="-194"/>
              <w:jc w:val="center"/>
              <w:rPr>
                <w:rFonts w:ascii="Arial" w:hAnsi="Arial" w:cs="Arial"/>
                <w:b/>
                <w:sz w:val="20"/>
              </w:rPr>
            </w:pPr>
            <w:r>
              <w:rPr>
                <w:rFonts w:eastAsia="Arial" w:cs="Arial" w:ascii="Arial" w:hAnsi="Arial"/>
                <w:b/>
                <w:color w:val="auto"/>
                <w:spacing w:val="0"/>
                <w:w w:val="100"/>
                <w:sz w:val="16"/>
                <w:szCs w:val="16"/>
                <w:lang w:val="ro-RO"/>
              </w:rPr>
              <w:t>18</w:t>
            </w:r>
          </w:p>
        </w:tc>
        <w:tc>
          <w:tcPr>
            <w:tcW w:w="38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left="-202" w:right="-139"/>
              <w:jc w:val="center"/>
              <w:rPr>
                <w:rFonts w:ascii="Arial" w:hAnsi="Arial" w:cs="Arial"/>
                <w:b/>
                <w:sz w:val="20"/>
              </w:rPr>
            </w:pPr>
            <w:r>
              <w:rPr>
                <w:rFonts w:eastAsia="Arial" w:cs="Arial" w:ascii="Arial" w:hAnsi="Arial"/>
                <w:b/>
                <w:color w:val="auto"/>
                <w:spacing w:val="0"/>
                <w:w w:val="100"/>
                <w:sz w:val="16"/>
                <w:szCs w:val="16"/>
                <w:lang w:val="ro-RO"/>
              </w:rPr>
              <w:t>19</w:t>
            </w:r>
          </w:p>
        </w:tc>
        <w:tc>
          <w:tcPr>
            <w:tcW w:w="381"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hanging="108" w:right="-108"/>
              <w:jc w:val="center"/>
              <w:rPr>
                <w:rFonts w:ascii="Arial" w:hAnsi="Arial" w:cs="Arial"/>
                <w:b/>
                <w:sz w:val="20"/>
              </w:rPr>
            </w:pPr>
            <w:r>
              <w:rPr>
                <w:rFonts w:eastAsia="Arial" w:cs="Arial" w:ascii="Arial" w:hAnsi="Arial"/>
                <w:b/>
                <w:color w:val="auto"/>
                <w:spacing w:val="0"/>
                <w:w w:val="100"/>
                <w:sz w:val="16"/>
                <w:szCs w:val="16"/>
                <w:lang w:val="ro-RO"/>
              </w:rPr>
              <w:t>20</w:t>
            </w:r>
          </w:p>
        </w:tc>
        <w:tc>
          <w:tcPr>
            <w:tcW w:w="38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left="-132" w:right="-209"/>
              <w:jc w:val="center"/>
              <w:rPr>
                <w:rFonts w:ascii="Arial" w:hAnsi="Arial" w:cs="Arial"/>
                <w:b/>
                <w:sz w:val="20"/>
              </w:rPr>
            </w:pPr>
            <w:r>
              <w:rPr>
                <w:rFonts w:eastAsia="Arial" w:cs="Arial" w:ascii="Arial" w:hAnsi="Arial"/>
                <w:b/>
                <w:color w:val="auto"/>
                <w:spacing w:val="0"/>
                <w:w w:val="100"/>
                <w:sz w:val="16"/>
                <w:szCs w:val="16"/>
                <w:lang w:val="ro-RO"/>
              </w:rPr>
              <w:t>21</w:t>
            </w:r>
          </w:p>
        </w:tc>
        <w:tc>
          <w:tcPr>
            <w:tcW w:w="381"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left="-187" w:right="-154"/>
              <w:jc w:val="center"/>
              <w:rPr>
                <w:rFonts w:ascii="Arial" w:hAnsi="Arial" w:cs="Arial"/>
                <w:b/>
                <w:sz w:val="20"/>
              </w:rPr>
            </w:pPr>
            <w:r>
              <w:rPr>
                <w:rFonts w:eastAsia="Arial" w:cs="Arial" w:ascii="Arial" w:hAnsi="Arial"/>
                <w:b/>
                <w:color w:val="auto"/>
                <w:spacing w:val="0"/>
                <w:w w:val="100"/>
                <w:sz w:val="16"/>
                <w:szCs w:val="16"/>
                <w:lang w:val="ro-RO"/>
              </w:rPr>
              <w:t>22</w:t>
            </w:r>
          </w:p>
        </w:tc>
        <w:tc>
          <w:tcPr>
            <w:tcW w:w="382" w:type="dxa"/>
            <w:tcBorders>
              <w:top w:val="single" w:sz="6" w:space="0" w:color="000000"/>
              <w:left w:val="single" w:sz="6" w:space="0" w:color="000000"/>
              <w:bottom w:val="single" w:sz="12" w:space="0" w:color="000000"/>
              <w:right w:val="single" w:sz="12" w:space="0" w:color="000000"/>
            </w:tcBorders>
            <w:shd w:color="auto" w:fill="F3F3F3" w:val="clear"/>
            <w:vAlign w:val="center"/>
          </w:tcPr>
          <w:p>
            <w:pPr>
              <w:pStyle w:val="Normal"/>
              <w:widowControl/>
              <w:spacing w:before="0" w:after="0"/>
              <w:ind w:left="-62" w:right="-98"/>
              <w:jc w:val="center"/>
              <w:rPr>
                <w:rFonts w:ascii="Arial" w:hAnsi="Arial" w:cs="Arial"/>
                <w:b/>
                <w:sz w:val="20"/>
              </w:rPr>
            </w:pPr>
            <w:r>
              <w:rPr>
                <w:rFonts w:eastAsia="Arial" w:cs="Arial" w:ascii="Arial" w:hAnsi="Arial"/>
                <w:b/>
                <w:color w:val="auto"/>
                <w:spacing w:val="0"/>
                <w:w w:val="100"/>
                <w:sz w:val="16"/>
                <w:szCs w:val="16"/>
                <w:lang w:val="ro-RO"/>
              </w:rPr>
              <w:t>23</w:t>
            </w:r>
          </w:p>
        </w:tc>
      </w:tr>
      <w:tr>
        <w:trPr>
          <w:cantSplit/>
          <w:trHeight w:val="143" w:hRule="atLeast"/>
        </w:trPr>
        <w:tc>
          <w:tcPr>
            <w:tcW w:w="605" w:type="dxa"/>
            <w:vMerge w:val="restart"/>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w:t>
            </w:r>
          </w:p>
        </w:tc>
        <w:tc>
          <w:tcPr>
            <w:tcW w:w="283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Plagă: - tăietură</w:t>
            </w:r>
          </w:p>
        </w:tc>
        <w:tc>
          <w:tcPr>
            <w:tcW w:w="56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2" w:hRule="atLeast"/>
        </w:trPr>
        <w:tc>
          <w:tcPr>
            <w:tcW w:w="605" w:type="dxa"/>
            <w:vMerge w:val="continue"/>
            <w:tcBorders>
              <w:top w:val="single" w:sz="6" w:space="0" w:color="000000"/>
              <w:left w:val="single" w:sz="12"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Plagă: - înțepătură</w:t>
            </w:r>
          </w:p>
        </w:tc>
        <w:tc>
          <w:tcPr>
            <w:tcW w:w="56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Contuzie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Entorsă</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7"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Strivire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w:t>
            </w:r>
          </w:p>
        </w:tc>
        <w:tc>
          <w:tcPr>
            <w:tcW w:w="283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Fractură</w:t>
            </w:r>
          </w:p>
        </w:tc>
        <w:tc>
          <w:tcPr>
            <w:tcW w:w="56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173" w:hRule="atLeast"/>
        </w:trPr>
        <w:tc>
          <w:tcPr>
            <w:tcW w:w="605" w:type="dxa"/>
            <w:vMerge w:val="restart"/>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Arsură: - termică</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7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vMerge w:val="continue"/>
            <w:tcBorders>
              <w:top w:val="single" w:sz="6" w:space="0" w:color="000000"/>
              <w:left w:val="single" w:sz="12"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Arsură: - chimică</w:t>
            </w:r>
          </w:p>
        </w:tc>
        <w:tc>
          <w:tcPr>
            <w:tcW w:w="56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7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Amputație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8.</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 xml:space="preserve">Leziuni ale organelor interne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9.</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Electrocutare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10.</w:t>
            </w:r>
          </w:p>
        </w:tc>
        <w:tc>
          <w:tcPr>
            <w:tcW w:w="283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Asfixie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2" w:hRule="atLeast"/>
        </w:trPr>
        <w:tc>
          <w:tcPr>
            <w:tcW w:w="605" w:type="dxa"/>
            <w:vMerge w:val="restart"/>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11.</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Intoxicație: - acută</w:t>
            </w:r>
          </w:p>
        </w:tc>
        <w:tc>
          <w:tcPr>
            <w:tcW w:w="56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2" w:type="dxa"/>
            <w:tcBorders>
              <w:top w:val="single" w:sz="6"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vMerge w:val="continue"/>
            <w:tcBorders>
              <w:top w:val="single" w:sz="6" w:space="0" w:color="000000"/>
              <w:left w:val="single" w:sz="12"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Intoxicație: - cronică</w:t>
            </w:r>
          </w:p>
        </w:tc>
        <w:tc>
          <w:tcPr>
            <w:tcW w:w="56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12.</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Dermatoză</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2" w:hRule="atLeast"/>
        </w:trPr>
        <w:tc>
          <w:tcPr>
            <w:tcW w:w="605" w:type="dxa"/>
            <w:tcBorders>
              <w:top w:val="single" w:sz="6" w:space="0" w:color="000000"/>
              <w:left w:val="single" w:sz="12"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13.</w:t>
            </w:r>
          </w:p>
        </w:tc>
        <w:tc>
          <w:tcPr>
            <w:tcW w:w="2836" w:type="dxa"/>
            <w:tcBorders>
              <w:top w:val="single" w:sz="6" w:space="0" w:color="000000"/>
              <w:left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Pneumoconioză</w:t>
            </w:r>
          </w:p>
        </w:tc>
        <w:tc>
          <w:tcPr>
            <w:tcW w:w="566"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14.</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Îmbolnăviri respiratorii cronice provocate de substanțe toxice iritante (emfizem pulmonar, bronșită etc.)</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2" w:hRule="atLeast"/>
        </w:trPr>
        <w:tc>
          <w:tcPr>
            <w:tcW w:w="605" w:type="dxa"/>
            <w:tcBorders>
              <w:top w:val="single" w:sz="6"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15.</w:t>
            </w:r>
          </w:p>
        </w:tc>
        <w:tc>
          <w:tcPr>
            <w:tcW w:w="283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Astm bronșic, rinită vasomotorie</w:t>
            </w:r>
          </w:p>
        </w:tc>
        <w:tc>
          <w:tcPr>
            <w:tcW w:w="56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46" w:hRule="atLeast"/>
        </w:trPr>
        <w:tc>
          <w:tcPr>
            <w:tcW w:w="605" w:type="dxa"/>
            <w:tcBorders>
              <w:top w:val="single" w:sz="4"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16.</w:t>
            </w:r>
          </w:p>
        </w:tc>
        <w:tc>
          <w:tcPr>
            <w:tcW w:w="283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Boli prin expunere la temp. înalte sau scăzute (șoc, colaps caloric, degerături)</w:t>
            </w:r>
          </w:p>
        </w:tc>
        <w:tc>
          <w:tcPr>
            <w:tcW w:w="56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r>
          </w:p>
        </w:tc>
        <w:tc>
          <w:tcPr>
            <w:tcW w:w="593"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1"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17.</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Hipoacuzie, surditate de percepție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18.</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Cecitate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6"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19.</w:t>
            </w:r>
          </w:p>
        </w:tc>
        <w:tc>
          <w:tcPr>
            <w:tcW w:w="283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Tumori maligne, cancer profesional</w:t>
            </w:r>
          </w:p>
        </w:tc>
        <w:tc>
          <w:tcPr>
            <w:tcW w:w="56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7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6"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20.</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Artroze cronice, periartrite, stiloidite, osteocondilite, bursite, epicondilite, discopatii</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21.</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Boala de vibrații</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22.</w:t>
            </w:r>
          </w:p>
        </w:tc>
        <w:tc>
          <w:tcPr>
            <w:tcW w:w="2836"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Tromboflebită</w:t>
            </w:r>
          </w:p>
        </w:tc>
        <w:tc>
          <w:tcPr>
            <w:tcW w:w="564"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449" w:type="dxa"/>
            <w:tcBorders>
              <w:top w:val="single" w:sz="4" w:space="0" w:color="000000"/>
              <w:left w:val="single" w:sz="6" w:space="0" w:color="000000"/>
              <w:bottom w:val="single" w:sz="12"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05" w:type="dxa"/>
            <w:tcBorders>
              <w:top w:val="single" w:sz="4" w:space="0" w:color="000000"/>
              <w:left w:val="single" w:sz="4"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93"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12"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23.</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Laringite cronice, nodulii cântăreților</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24.</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Astenopatie acomodativă, agravarea miopiei existente</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25.</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 xml:space="preserve">Cataractă</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26.</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 xml:space="preserve">Conjunctivite și keratoconjunctivite</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27.</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Electrooftalmie</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28.</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Boala de iradiere</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29.</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Îmbolnăviri datorate compresiunilor și decompresiunilor</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30.</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Boli infecțioase și parazitare</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31.</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Nevroze de coordonare</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32.</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Sindrom cerebroastenic și tulburări de termoreglare (datorită undelor electromag. de înaltă frecv.)</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33.</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Afecțiuni psihice / Stres</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r>
      <w:tr>
        <w:trPr>
          <w:cantSplit/>
          <w:trHeight w:val="61" w:hRule="atLeast"/>
        </w:trPr>
        <w:tc>
          <w:tcPr>
            <w:tcW w:w="605" w:type="dxa"/>
            <w:tcBorders>
              <w:top w:val="single" w:sz="4" w:space="0" w:color="000000"/>
              <w:left w:val="single" w:sz="12"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34.</w:t>
            </w:r>
          </w:p>
        </w:tc>
        <w:tc>
          <w:tcPr>
            <w:tcW w:w="2836"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Alte consecințe</w:t>
            </w:r>
          </w:p>
        </w:tc>
        <w:tc>
          <w:tcPr>
            <w:tcW w:w="564"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66"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74"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69"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69"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76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69"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67"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7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7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449" w:type="dxa"/>
            <w:tcBorders>
              <w:top w:val="single" w:sz="4" w:space="0" w:color="000000"/>
              <w:left w:val="single" w:sz="6" w:space="0" w:color="000000"/>
              <w:bottom w:val="single" w:sz="12"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05" w:type="dxa"/>
            <w:tcBorders>
              <w:top w:val="single" w:sz="4" w:space="0" w:color="000000"/>
              <w:left w:val="single" w:sz="4"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93"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77"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1"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1"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2" w:type="dxa"/>
            <w:tcBorders>
              <w:top w:val="single" w:sz="4" w:space="0" w:color="000000"/>
              <w:left w:val="single" w:sz="6" w:space="0" w:color="000000"/>
              <w:bottom w:val="single" w:sz="12"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r>
    </w:tbl>
    <w:p>
      <w:pPr>
        <w:pStyle w:val="Normal"/>
        <w:widowControl/>
        <w:spacing w:before="0" w:after="0"/>
        <w:ind w:hanging="0"/>
        <w:jc w:val="left"/>
        <w:rPr>
          <w:spacing w:val="28"/>
          <w:sz w:val="2"/>
          <w:szCs w:val="20"/>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sectPr>
          <w:headerReference w:type="even" r:id="rId20"/>
          <w:headerReference w:type="default" r:id="rId21"/>
          <w:headerReference w:type="first" r:id="rId22"/>
          <w:footerReference w:type="even" r:id="rId23"/>
          <w:footerReference w:type="default" r:id="rId24"/>
          <w:footerReference w:type="first" r:id="rId25"/>
          <w:footnotePr>
            <w:numFmt w:val="decimal"/>
          </w:footnotePr>
          <w:type w:val="nextPage"/>
          <w:pgSz w:orient="landscape" w:w="16838" w:h="11906"/>
          <w:pgMar w:left="1417" w:right="1134" w:gutter="0" w:header="680" w:top="2445" w:footer="680" w:bottom="1134"/>
          <w:pgNumType w:fmt="decimal"/>
          <w:formProt w:val="false"/>
          <w:textDirection w:val="lrTb"/>
          <w:docGrid w:type="default" w:linePitch="360" w:charSpace="0"/>
        </w:sect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Anexa Nr. 3.</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SCALA DE COTARE A GRAVITĂȚII ȘI PROBABILITĂȚII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CONSECINȚELOR ACȚIUNII FACTORILOR DE RISC ASUPRA ORGANISMULUI UMAN</w:t>
      </w:r>
    </w:p>
    <w:p>
      <w:pPr>
        <w:pStyle w:val="Normal"/>
        <w:keepNext w:val="tru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tbl>
      <w:tblPr>
        <w:tblW w:w="5000" w:type="pct"/>
        <w:jc w:val="left"/>
        <w:tblInd w:w="230" w:type="dxa"/>
        <w:tblLayout w:type="fixed"/>
        <w:tblCellMar>
          <w:top w:w="17" w:type="dxa"/>
          <w:left w:w="108" w:type="dxa"/>
          <w:bottom w:w="17" w:type="dxa"/>
          <w:right w:w="108" w:type="dxa"/>
        </w:tblCellMar>
        <w:tblLook w:noHBand="0" w:noVBand="0" w:firstColumn="0" w:lastRow="0" w:lastColumn="0" w:firstRow="0" w:val="0000"/>
      </w:tblPr>
      <w:tblGrid>
        <w:gridCol w:w="359"/>
        <w:gridCol w:w="1979"/>
        <w:gridCol w:w="7017"/>
      </w:tblGrid>
      <w:tr>
        <w:trPr>
          <w:tblHeader w:val="true"/>
          <w:cantSplit/>
        </w:trPr>
        <w:tc>
          <w:tcPr>
            <w:tcW w:w="2338" w:type="dxa"/>
            <w:gridSpan w:val="2"/>
            <w:tcBorders>
              <w:top w:val="single" w:sz="12"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CLASE DE</w:t>
            </w:r>
          </w:p>
          <w:p>
            <w:pPr>
              <w:pStyle w:val="Normal"/>
              <w:widowControl/>
              <w:spacing w:before="0" w:after="0"/>
              <w:jc w:val="center"/>
              <w:rPr>
                <w:rFonts w:ascii="Arial" w:hAnsi="Arial" w:cs="Arial"/>
                <w:b/>
                <w:bCs/>
                <w:sz w:val="18"/>
                <w:szCs w:val="18"/>
              </w:rPr>
            </w:pPr>
            <w:r>
              <w:rPr>
                <w:rFonts w:eastAsia="Arial" w:cs="Arial" w:ascii="Arial" w:hAnsi="Arial"/>
                <w:b/>
                <w:bCs/>
                <w:color w:val="auto"/>
                <w:spacing w:val="0"/>
                <w:w w:val="100"/>
                <w:sz w:val="20"/>
                <w:szCs w:val="20"/>
                <w:lang w:val="ro-RO"/>
              </w:rPr>
              <w:t>GRAVITATE</w:t>
            </w:r>
          </w:p>
        </w:tc>
        <w:tc>
          <w:tcPr>
            <w:tcW w:w="7017" w:type="dxa"/>
            <w:vMerge w:val="restart"/>
            <w:tcBorders>
              <w:top w:val="single" w:sz="12" w:space="0" w:color="000000"/>
              <w:left w:val="single" w:sz="6" w:space="0" w:color="000000"/>
              <w:bottom w:val="single" w:sz="12" w:space="0" w:color="000000"/>
              <w:right w:val="single" w:sz="12"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GRAVITATEA CONSECINȚELOR</w:t>
            </w:r>
          </w:p>
        </w:tc>
      </w:tr>
      <w:tr>
        <w:trPr>
          <w:cantSplit/>
        </w:trPr>
        <w:tc>
          <w:tcPr>
            <w:tcW w:w="2338" w:type="dxa"/>
            <w:gridSpan w:val="2"/>
            <w:tcBorders>
              <w:top w:val="single" w:sz="4" w:space="0" w:color="000000"/>
              <w:left w:val="single" w:sz="12"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bCs/>
                <w:sz w:val="18"/>
                <w:szCs w:val="18"/>
              </w:rPr>
            </w:pPr>
            <w:r>
              <w:rPr>
                <w:rFonts w:eastAsia="Arial" w:cs="Arial" w:ascii="Arial" w:hAnsi="Arial"/>
                <w:b/>
                <w:bCs/>
                <w:color w:val="auto"/>
                <w:spacing w:val="0"/>
                <w:w w:val="100"/>
                <w:sz w:val="20"/>
                <w:szCs w:val="20"/>
                <w:lang w:val="ro-RO"/>
              </w:rPr>
              <w:t>CONSECINȚE</w:t>
            </w:r>
          </w:p>
        </w:tc>
        <w:tc>
          <w:tcPr>
            <w:tcW w:w="7017" w:type="dxa"/>
            <w:vMerge w:val="continue"/>
            <w:tcBorders>
              <w:top w:val="single" w:sz="6" w:space="0" w:color="000000"/>
              <w:left w:val="single" w:sz="6" w:space="0" w:color="000000"/>
              <w:bottom w:val="single" w:sz="12" w:space="0" w:color="000000"/>
              <w:right w:val="single" w:sz="12" w:space="0" w:color="000000"/>
            </w:tcBorders>
            <w:shd w:color="auto" w:fill="E0E0E0"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r>
      <w:tr>
        <w:trPr/>
        <w:tc>
          <w:tcPr>
            <w:tcW w:w="359" w:type="dxa"/>
            <w:tcBorders>
              <w:top w:val="single" w:sz="12"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c>
          <w:tcPr>
            <w:tcW w:w="1979" w:type="dxa"/>
            <w:tcBorders>
              <w:top w:val="single" w:sz="12"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NEGLIJABILE</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consecințe minore reversibile cu incapacitate de muncă previzibilă până la 3 zile calendaristice (vindecare fără tratament)</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MICI</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consecințe reversibile cu o incapacitate de muncă previzibilă de 3 – 45 zile care necesită tratament medical</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MEDII</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consecințe reversibile cu o incapacitate de muncă previzibilă între 45 – 180 zile care necesită tratament medical și prin spitalizare</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4</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MARI</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consecințe ireversibile cu o diminuare a capacității de muncă de minimum 50 %, individul putând să presteze o activitate profesională (invaliditate de gradul III)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5</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GRAVE</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consecințe ireversibile cu pierdere de 100 % a capacității de muncă, dar cu posibilitate de autoservire, de autoconducere și de orientare spațială (invaliditate de gradul II)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6</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FOARTE GRAVE</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consecințe ireversibile cu pierderea totală a capacității de muncă, de autoservire, de autoconducție sau de orientare spațială (invaliditate de gradul 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7</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MAXIME</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deces</w:t>
            </w:r>
          </w:p>
        </w:tc>
      </w:tr>
      <w:tr>
        <w:trPr>
          <w:cantSplit/>
        </w:trPr>
        <w:tc>
          <w:tcPr>
            <w:tcW w:w="2338" w:type="dxa"/>
            <w:gridSpan w:val="2"/>
            <w:tcBorders>
              <w:top w:val="single" w:sz="12"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CLASE DE</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PROBABILITATE</w:t>
            </w:r>
          </w:p>
        </w:tc>
        <w:tc>
          <w:tcPr>
            <w:tcW w:w="7017" w:type="dxa"/>
            <w:vMerge w:val="restart"/>
            <w:tcBorders>
              <w:top w:val="single" w:sz="12" w:space="0" w:color="000000"/>
              <w:left w:val="single" w:sz="6" w:space="0" w:color="000000"/>
              <w:bottom w:val="single" w:sz="12" w:space="0" w:color="000000"/>
              <w:right w:val="single" w:sz="12"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PROBABILITATEA CONSECINȚELOR</w:t>
            </w:r>
          </w:p>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(frecvența probabilă de producere a consecințelor)</w:t>
            </w:r>
          </w:p>
        </w:tc>
      </w:tr>
      <w:tr>
        <w:trPr>
          <w:cantSplit/>
        </w:trPr>
        <w:tc>
          <w:tcPr>
            <w:tcW w:w="2338" w:type="dxa"/>
            <w:gridSpan w:val="2"/>
            <w:tcBorders>
              <w:top w:val="single" w:sz="4" w:space="0" w:color="000000"/>
              <w:left w:val="single" w:sz="12"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bCs/>
                <w:sz w:val="18"/>
                <w:szCs w:val="18"/>
              </w:rPr>
            </w:pPr>
            <w:r>
              <w:rPr>
                <w:rFonts w:eastAsia="Arial" w:cs="Arial" w:ascii="Arial" w:hAnsi="Arial"/>
                <w:b/>
                <w:bCs/>
                <w:color w:val="auto"/>
                <w:spacing w:val="0"/>
                <w:w w:val="100"/>
                <w:sz w:val="20"/>
                <w:szCs w:val="20"/>
                <w:lang w:val="ro-RO"/>
              </w:rPr>
              <w:t>EVENIMENTE</w:t>
            </w:r>
          </w:p>
        </w:tc>
        <w:tc>
          <w:tcPr>
            <w:tcW w:w="7017" w:type="dxa"/>
            <w:vMerge w:val="continue"/>
            <w:tcBorders>
              <w:top w:val="single" w:sz="6" w:space="0" w:color="000000"/>
              <w:left w:val="single" w:sz="6" w:space="0" w:color="000000"/>
              <w:bottom w:val="single" w:sz="12" w:space="0" w:color="000000"/>
              <w:right w:val="single" w:sz="12" w:space="0" w:color="000000"/>
            </w:tcBorders>
            <w:tcMar>
              <w:top w:w="0" w:type="dxa"/>
              <w:bottom w:w="0" w:type="dxa"/>
            </w:tcMar>
          </w:tcPr>
          <w:p>
            <w:pPr>
              <w:pStyle w:val="Normal"/>
              <w:spacing w:before="240" w:after="0"/>
              <w:jc w:val="center"/>
              <w:rPr>
                <w:rFonts w:ascii="Arial" w:hAnsi="Arial" w:cs="Arial"/>
                <w:b/>
                <w:sz w:val="18"/>
                <w:szCs w:val="18"/>
              </w:rPr>
            </w:pPr>
            <w:r>
              <w:rPr>
                <w:rFonts w:eastAsia="Arial" w:cs="Arial" w:ascii="Arial" w:hAnsi="Arial"/>
                <w:b/>
                <w:color w:val="auto"/>
                <w:spacing w:val="0"/>
                <w:w w:val="100"/>
                <w:sz w:val="20"/>
                <w:szCs w:val="20"/>
                <w:lang w:val="ro-RO"/>
              </w:rPr>
            </w:r>
          </w:p>
        </w:tc>
      </w:tr>
      <w:tr>
        <w:trPr/>
        <w:tc>
          <w:tcPr>
            <w:tcW w:w="359" w:type="dxa"/>
            <w:tcBorders>
              <w:top w:val="single" w:sz="12"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c>
          <w:tcPr>
            <w:tcW w:w="1979" w:type="dxa"/>
            <w:tcBorders>
              <w:top w:val="single" w:sz="12"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EXTREM DE RARE</w:t>
            </w:r>
          </w:p>
        </w:tc>
        <w:tc>
          <w:tcPr>
            <w:tcW w:w="7017"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extrem de mică: </w:t>
            </w:r>
            <w:r>
              <w:rPr>
                <w:rFonts w:eastAsia="Arial" w:cs="Arial" w:ascii="Arial" w:hAnsi="Arial"/>
                <w:b/>
                <w:color w:val="auto"/>
                <w:spacing w:val="0"/>
                <w:w w:val="100"/>
                <w:sz w:val="20"/>
                <w:szCs w:val="20"/>
                <w:lang w:val="ro-RO"/>
              </w:rPr>
              <w:t>P &gt; 10 ani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FOARTE RARE</w:t>
            </w:r>
          </w:p>
        </w:tc>
        <w:tc>
          <w:tcPr>
            <w:tcW w:w="7017"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foarte mică:</w:t>
            </w:r>
            <w:r>
              <w:rPr>
                <w:rFonts w:eastAsia="Arial" w:cs="Arial" w:ascii="Arial" w:hAnsi="Arial"/>
                <w:b/>
                <w:color w:val="auto"/>
                <w:spacing w:val="0"/>
                <w:w w:val="100"/>
                <w:sz w:val="20"/>
                <w:szCs w:val="20"/>
                <w:lang w:val="ro-RO"/>
              </w:rPr>
              <w:t xml:space="preserve"> 5 ani ≤ P ≤ 10 ani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RARE</w:t>
            </w:r>
          </w:p>
        </w:tc>
        <w:tc>
          <w:tcPr>
            <w:tcW w:w="7017"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mică:</w:t>
            </w:r>
            <w:r>
              <w:rPr>
                <w:rFonts w:eastAsia="Arial" w:cs="Arial" w:ascii="Arial" w:hAnsi="Arial"/>
                <w:b/>
                <w:color w:val="auto"/>
                <w:spacing w:val="0"/>
                <w:w w:val="100"/>
                <w:sz w:val="20"/>
                <w:szCs w:val="20"/>
                <w:lang w:val="ro-RO"/>
              </w:rPr>
              <w:t xml:space="preserve"> 2 ani ≤ P ≤ 5 ani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4</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PUȚIN FRECVENTE</w:t>
            </w:r>
          </w:p>
        </w:tc>
        <w:tc>
          <w:tcPr>
            <w:tcW w:w="7017"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medie:</w:t>
            </w:r>
            <w:r>
              <w:rPr>
                <w:rFonts w:eastAsia="Arial" w:cs="Arial" w:ascii="Arial" w:hAnsi="Arial"/>
                <w:b/>
                <w:color w:val="auto"/>
                <w:spacing w:val="0"/>
                <w:w w:val="100"/>
                <w:sz w:val="20"/>
                <w:szCs w:val="20"/>
                <w:lang w:val="ro-RO"/>
              </w:rPr>
              <w:t xml:space="preserve"> 1 an ≤ P ≤ 2 ani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5</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FRECVENTE</w:t>
            </w:r>
          </w:p>
        </w:tc>
        <w:tc>
          <w:tcPr>
            <w:tcW w:w="7017"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mare: </w:t>
            </w:r>
            <w:r>
              <w:rPr>
                <w:rFonts w:eastAsia="Arial" w:cs="Arial" w:ascii="Arial" w:hAnsi="Arial"/>
                <w:b/>
                <w:color w:val="auto"/>
                <w:spacing w:val="0"/>
                <w:w w:val="100"/>
                <w:sz w:val="20"/>
                <w:szCs w:val="20"/>
                <w:lang w:val="ro-RO"/>
              </w:rPr>
              <w:t>1 lună</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 P ≤ 1 an</w:t>
            </w:r>
          </w:p>
        </w:tc>
      </w:tr>
      <w:tr>
        <w:trPr/>
        <w:tc>
          <w:tcPr>
            <w:tcW w:w="359" w:type="dxa"/>
            <w:tcBorders>
              <w:top w:val="single" w:sz="6" w:space="0" w:color="000000"/>
              <w:left w:val="single" w:sz="12" w:space="0" w:color="000000"/>
              <w:bottom w:val="single" w:sz="12"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6</w:t>
            </w:r>
          </w:p>
        </w:tc>
        <w:tc>
          <w:tcPr>
            <w:tcW w:w="1979" w:type="dxa"/>
            <w:tcBorders>
              <w:top w:val="single" w:sz="6" w:space="0" w:color="000000"/>
              <w:left w:val="single" w:sz="4"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FOARTE FRECVENTE</w:t>
            </w:r>
          </w:p>
        </w:tc>
        <w:tc>
          <w:tcPr>
            <w:tcW w:w="7017" w:type="dxa"/>
            <w:tcBorders>
              <w:top w:val="single" w:sz="6" w:space="0" w:color="000000"/>
              <w:left w:val="single" w:sz="6" w:space="0" w:color="000000"/>
              <w:bottom w:val="single" w:sz="12"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foarte mare: </w:t>
            </w:r>
            <w:r>
              <w:rPr>
                <w:rFonts w:eastAsia="Arial" w:cs="Arial" w:ascii="Arial" w:hAnsi="Arial"/>
                <w:b/>
                <w:color w:val="auto"/>
                <w:spacing w:val="0"/>
                <w:w w:val="100"/>
                <w:sz w:val="20"/>
                <w:szCs w:val="20"/>
                <w:lang w:val="ro-RO"/>
              </w:rPr>
              <w:t>P ≤ 1 lună</w:t>
            </w:r>
          </w:p>
        </w:tc>
      </w:tr>
    </w:tbl>
    <w:p>
      <w:pPr>
        <w:pStyle w:val="Normal"/>
        <w:pageBreakBefore/>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Anexa Nr. 4.</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GRILA DE EVALUARE A RISCURILOR (COMBINAȚIE ÎNTRE GRAVITATEA CONSECINȚELOR ȘI PROBABILITATEA PRODUCERII LOR)</w:t>
      </w:r>
    </w:p>
    <w:p>
      <w:pPr>
        <w:pStyle w:val="Normal"/>
        <w:widowControl/>
        <w:spacing w:before="0" w:after="0"/>
        <w:ind w:hanging="0"/>
        <w:jc w:val="left"/>
        <w:rPr>
          <w:rFonts w:ascii="Arial" w:hAnsi="Arial" w:cs="Arial"/>
          <w:b/>
          <w:spacing w:val="28"/>
          <w:sz w:val="2"/>
          <w:szCs w:val="18"/>
        </w:rPr>
      </w:pPr>
      <w:r>
        <w:rPr>
          <w:rFonts w:eastAsia="Arial" w:cs="Arial" w:ascii="Arial" w:hAnsi="Arial"/>
          <w:b/>
          <w:color w:val="auto"/>
          <w:spacing w:val="0"/>
          <w:w w:val="100"/>
          <w:sz w:val="2"/>
          <w:szCs w:val="20"/>
          <w:lang w:val="ro-RO"/>
        </w:rPr>
      </w:r>
    </w:p>
    <w:p>
      <w:pPr>
        <w:pStyle w:val="Normal"/>
        <w:keepNext w:val="true"/>
        <w:widowControl/>
        <w:spacing w:before="0" w:after="0"/>
        <w:ind w:hanging="0"/>
        <w:jc w:val="left"/>
        <w:rPr>
          <w:rFonts w:ascii="Arial" w:hAnsi="Arial" w:cs="Arial"/>
          <w:b/>
          <w:spacing w:val="28"/>
          <w:sz w:val="2"/>
          <w:szCs w:val="18"/>
        </w:rPr>
      </w:pPr>
      <w:r>
        <w:rPr>
          <w:rFonts w:eastAsia="Arial" w:cs="Arial" w:ascii="Arial" w:hAnsi="Arial"/>
          <w:b/>
          <w:color w:val="auto"/>
          <w:spacing w:val="0"/>
          <w:w w:val="100"/>
          <w:sz w:val="2"/>
          <w:szCs w:val="20"/>
          <w:lang w:val="ro-RO"/>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1180"/>
        <w:gridCol w:w="1094"/>
        <w:gridCol w:w="1539"/>
        <w:gridCol w:w="257"/>
        <w:gridCol w:w="876"/>
        <w:gridCol w:w="872"/>
        <w:gridCol w:w="877"/>
        <w:gridCol w:w="871"/>
        <w:gridCol w:w="896"/>
        <w:gridCol w:w="893"/>
      </w:tblGrid>
      <w:tr>
        <w:trPr>
          <w:tblHeader w:val="true"/>
          <w:trHeight w:val="228" w:hRule="atLeast"/>
          <w:cantSplit/>
        </w:trPr>
        <w:tc>
          <w:tcPr>
            <w:tcW w:w="1180" w:type="dxa"/>
            <w:tcBorders/>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1094" w:type="dxa"/>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1539" w:type="dxa"/>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257" w:type="dxa"/>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285" w:type="dxa"/>
            <w:gridSpan w:val="6"/>
            <w:tcBorders>
              <w:top w:val="single" w:sz="12" w:space="0" w:color="000000"/>
              <w:left w:val="single" w:sz="12" w:space="0" w:color="000000"/>
              <w:right w:val="single" w:sz="12" w:space="0" w:color="000000"/>
            </w:tcBorders>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16"/>
                <w:szCs w:val="16"/>
                <w:lang w:val="ro-RO"/>
              </w:rPr>
              <w:t>CLASE DE PROBABILITATE</w:t>
            </w:r>
          </w:p>
        </w:tc>
      </w:tr>
      <w:tr>
        <w:trPr>
          <w:trHeight w:val="228" w:hRule="exact"/>
          <w:cantSplit/>
        </w:trPr>
        <w:tc>
          <w:tcPr>
            <w:tcW w:w="1180" w:type="dxa"/>
            <w:tcBorders/>
          </w:tcPr>
          <w:p>
            <w:pPr>
              <w:pStyle w:val="Normal"/>
              <w:keepNext w:val="true"/>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1094" w:type="dxa"/>
            <w:tcBorders/>
          </w:tcPr>
          <w:p>
            <w:pPr>
              <w:pStyle w:val="Normal"/>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1539" w:type="dxa"/>
            <w:tcBorders/>
          </w:tcPr>
          <w:p>
            <w:pPr>
              <w:pStyle w:val="Normal"/>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257" w:type="dxa"/>
            <w:tcBorders/>
          </w:tcPr>
          <w:p>
            <w:pPr>
              <w:pStyle w:val="Normal"/>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876" w:type="dxa"/>
            <w:tcBorders>
              <w:top w:val="single" w:sz="12" w:space="0" w:color="000000"/>
              <w:left w:val="single" w:sz="12" w:space="0" w:color="000000"/>
              <w:bottom w:val="single" w:sz="12" w:space="0" w:color="000000"/>
              <w:right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r>
          </w:p>
        </w:tc>
        <w:tc>
          <w:tcPr>
            <w:tcW w:w="872" w:type="dxa"/>
            <w:tcBorders>
              <w:top w:val="single" w:sz="12" w:space="0" w:color="000000"/>
              <w:bottom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77" w:type="dxa"/>
            <w:tcBorders>
              <w:top w:val="single" w:sz="12" w:space="0" w:color="000000"/>
              <w:left w:val="single" w:sz="12" w:space="0" w:color="000000"/>
              <w:bottom w:val="single" w:sz="12" w:space="0" w:color="000000"/>
              <w:right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871" w:type="dxa"/>
            <w:tcBorders>
              <w:top w:val="single" w:sz="12" w:space="0" w:color="000000"/>
              <w:bottom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896" w:type="dxa"/>
            <w:tcBorders>
              <w:top w:val="single" w:sz="12" w:space="0" w:color="000000"/>
              <w:left w:val="single" w:sz="12" w:space="0" w:color="000000"/>
              <w:bottom w:val="single" w:sz="12" w:space="0" w:color="000000"/>
              <w:right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5</w:t>
            </w:r>
          </w:p>
        </w:tc>
        <w:tc>
          <w:tcPr>
            <w:tcW w:w="893" w:type="dxa"/>
            <w:tcBorders>
              <w:top w:val="single" w:sz="12" w:space="0" w:color="000000"/>
              <w:bottom w:val="single" w:sz="12" w:space="0" w:color="000000"/>
              <w:right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6</w:t>
            </w:r>
          </w:p>
        </w:tc>
      </w:tr>
      <w:tr>
        <w:trPr>
          <w:trHeight w:val="1900" w:hRule="atLeast"/>
          <w:cantSplit/>
        </w:trPr>
        <w:tc>
          <w:tcPr>
            <w:tcW w:w="1180" w:type="dxa"/>
            <w:tcBorders/>
          </w:tcPr>
          <w:p>
            <w:pPr>
              <w:pStyle w:val="Normal"/>
              <w:keepNext w:val="true"/>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1094" w:type="dxa"/>
            <w:tcBorders/>
          </w:tcPr>
          <w:p>
            <w:pPr>
              <w:pStyle w:val="Normal"/>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1539" w:type="dxa"/>
            <w:tcBorders/>
          </w:tcPr>
          <w:p>
            <w:pPr>
              <w:pStyle w:val="Normal"/>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257" w:type="dxa"/>
            <w:tcBorders>
              <w:bottom w:val="single" w:sz="12" w:space="0" w:color="000000"/>
            </w:tcBorders>
          </w:tcPr>
          <w:p>
            <w:pPr>
              <w:pStyle w:val="Normal"/>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876" w:type="dxa"/>
            <w:tcBorders>
              <w:top w:val="single" w:sz="12" w:space="0" w:color="000000"/>
              <w:left w:val="single" w:sz="12" w:space="0" w:color="000000"/>
              <w:right w:val="single" w:sz="12" w:space="0" w:color="000000"/>
            </w:tcBorders>
            <w:textDirection w:val="btLr"/>
            <w:vAlign w:val="center"/>
          </w:tcPr>
          <w:p>
            <w:pPr>
              <w:pStyle w:val="Normal"/>
              <w:widowControl/>
              <w:spacing w:before="0" w:after="0"/>
              <w:ind w:left="113" w:right="113"/>
              <w:jc w:val="center"/>
              <w:rPr>
                <w:rFonts w:ascii="Arial" w:hAnsi="Arial" w:cs="Arial"/>
                <w:b/>
                <w:sz w:val="18"/>
                <w:szCs w:val="18"/>
              </w:rPr>
            </w:pPr>
            <w:r>
              <w:rPr>
                <w:rFonts w:eastAsia="Arial" w:cs="Arial" w:ascii="Arial" w:hAnsi="Arial"/>
                <w:b/>
                <w:color w:val="auto"/>
                <w:spacing w:val="0"/>
                <w:w w:val="100"/>
                <w:sz w:val="16"/>
                <w:szCs w:val="16"/>
                <w:lang w:val="ro-RO"/>
              </w:rPr>
              <w:t>EXTREM DE RAR</w:t>
            </w:r>
          </w:p>
        </w:tc>
        <w:tc>
          <w:tcPr>
            <w:tcW w:w="872" w:type="dxa"/>
            <w:tcBorders>
              <w:top w:val="single" w:sz="12" w:space="0" w:color="000000"/>
            </w:tcBorders>
            <w:textDirection w:val="btLr"/>
            <w:vAlign w:val="center"/>
          </w:tcPr>
          <w:p>
            <w:pPr>
              <w:pStyle w:val="Normal"/>
              <w:widowControl/>
              <w:spacing w:before="0" w:after="0"/>
              <w:ind w:left="113" w:right="113"/>
              <w:jc w:val="center"/>
              <w:rPr>
                <w:rFonts w:ascii="Arial" w:hAnsi="Arial" w:cs="Arial"/>
                <w:b/>
                <w:sz w:val="18"/>
                <w:szCs w:val="18"/>
              </w:rPr>
            </w:pPr>
            <w:r>
              <w:rPr>
                <w:rFonts w:eastAsia="Arial" w:cs="Arial" w:ascii="Arial" w:hAnsi="Arial"/>
                <w:b/>
                <w:color w:val="auto"/>
                <w:spacing w:val="0"/>
                <w:w w:val="100"/>
                <w:sz w:val="16"/>
                <w:szCs w:val="16"/>
                <w:lang w:val="ro-RO"/>
              </w:rPr>
              <w:t>FOARTE RAR</w:t>
            </w:r>
          </w:p>
        </w:tc>
        <w:tc>
          <w:tcPr>
            <w:tcW w:w="877" w:type="dxa"/>
            <w:tcBorders>
              <w:top w:val="single" w:sz="12" w:space="0" w:color="000000"/>
              <w:left w:val="single" w:sz="12" w:space="0" w:color="000000"/>
              <w:right w:val="single" w:sz="12" w:space="0" w:color="000000"/>
            </w:tcBorders>
            <w:textDirection w:val="btLr"/>
            <w:vAlign w:val="center"/>
          </w:tcPr>
          <w:p>
            <w:pPr>
              <w:pStyle w:val="Normal"/>
              <w:widowControl/>
              <w:spacing w:before="0" w:after="0"/>
              <w:ind w:left="113" w:right="113"/>
              <w:jc w:val="center"/>
              <w:rPr>
                <w:rFonts w:ascii="Arial" w:hAnsi="Arial" w:cs="Arial"/>
                <w:b/>
                <w:sz w:val="18"/>
                <w:szCs w:val="18"/>
              </w:rPr>
            </w:pPr>
            <w:r>
              <w:rPr>
                <w:rFonts w:eastAsia="Arial" w:cs="Arial" w:ascii="Arial" w:hAnsi="Arial"/>
                <w:b/>
                <w:color w:val="auto"/>
                <w:spacing w:val="0"/>
                <w:w w:val="100"/>
                <w:sz w:val="16"/>
                <w:szCs w:val="16"/>
                <w:lang w:val="ro-RO"/>
              </w:rPr>
              <w:t>RAR</w:t>
            </w:r>
          </w:p>
        </w:tc>
        <w:tc>
          <w:tcPr>
            <w:tcW w:w="871" w:type="dxa"/>
            <w:tcBorders>
              <w:top w:val="single" w:sz="12" w:space="0" w:color="000000"/>
            </w:tcBorders>
            <w:textDirection w:val="btLr"/>
            <w:vAlign w:val="center"/>
          </w:tcPr>
          <w:p>
            <w:pPr>
              <w:pStyle w:val="Normal"/>
              <w:widowControl/>
              <w:spacing w:before="0" w:after="0"/>
              <w:ind w:hanging="90" w:right="-108"/>
              <w:jc w:val="center"/>
              <w:rPr>
                <w:rFonts w:ascii="Arial" w:hAnsi="Arial" w:cs="Arial"/>
                <w:b/>
                <w:sz w:val="18"/>
                <w:szCs w:val="18"/>
              </w:rPr>
            </w:pPr>
            <w:r>
              <w:rPr>
                <w:rFonts w:eastAsia="Arial" w:cs="Arial" w:ascii="Arial" w:hAnsi="Arial"/>
                <w:b/>
                <w:color w:val="auto"/>
                <w:spacing w:val="0"/>
                <w:w w:val="100"/>
                <w:sz w:val="16"/>
                <w:szCs w:val="16"/>
                <w:lang w:val="ro-RO"/>
              </w:rPr>
              <w:t>PUȚIN FRECVENT</w:t>
            </w:r>
          </w:p>
        </w:tc>
        <w:tc>
          <w:tcPr>
            <w:tcW w:w="896" w:type="dxa"/>
            <w:tcBorders>
              <w:top w:val="single" w:sz="12" w:space="0" w:color="000000"/>
              <w:left w:val="single" w:sz="12" w:space="0" w:color="000000"/>
              <w:right w:val="single" w:sz="12" w:space="0" w:color="000000"/>
            </w:tcBorders>
            <w:textDirection w:val="btLr"/>
            <w:vAlign w:val="center"/>
          </w:tcPr>
          <w:p>
            <w:pPr>
              <w:pStyle w:val="Normal"/>
              <w:widowControl/>
              <w:spacing w:before="0" w:after="0"/>
              <w:ind w:left="113" w:right="113"/>
              <w:jc w:val="center"/>
              <w:rPr>
                <w:rFonts w:ascii="Arial" w:hAnsi="Arial" w:cs="Arial"/>
                <w:b/>
                <w:sz w:val="18"/>
                <w:szCs w:val="18"/>
              </w:rPr>
            </w:pPr>
            <w:r>
              <w:rPr>
                <w:rFonts w:eastAsia="Arial" w:cs="Arial" w:ascii="Arial" w:hAnsi="Arial"/>
                <w:b/>
                <w:color w:val="auto"/>
                <w:spacing w:val="0"/>
                <w:w w:val="100"/>
                <w:sz w:val="16"/>
                <w:szCs w:val="16"/>
                <w:lang w:val="ro-RO"/>
              </w:rPr>
              <w:t>FRECVENT</w:t>
            </w:r>
          </w:p>
        </w:tc>
        <w:tc>
          <w:tcPr>
            <w:tcW w:w="893" w:type="dxa"/>
            <w:tcBorders>
              <w:top w:val="single" w:sz="12" w:space="0" w:color="000000"/>
              <w:right w:val="single" w:sz="12" w:space="0" w:color="000000"/>
            </w:tcBorders>
            <w:textDirection w:val="btLr"/>
            <w:vAlign w:val="center"/>
          </w:tcPr>
          <w:p>
            <w:pPr>
              <w:pStyle w:val="Normal"/>
              <w:widowControl/>
              <w:spacing w:before="0" w:after="0"/>
              <w:ind w:left="113" w:right="113"/>
              <w:jc w:val="center"/>
              <w:rPr>
                <w:rFonts w:ascii="Arial" w:hAnsi="Arial" w:cs="Arial"/>
                <w:b/>
                <w:sz w:val="18"/>
                <w:szCs w:val="18"/>
              </w:rPr>
            </w:pPr>
            <w:r>
              <w:rPr>
                <w:rFonts w:eastAsia="Arial" w:cs="Arial" w:ascii="Arial" w:hAnsi="Arial"/>
                <w:b/>
                <w:color w:val="auto"/>
                <w:spacing w:val="0"/>
                <w:w w:val="100"/>
                <w:sz w:val="16"/>
                <w:szCs w:val="16"/>
                <w:lang w:val="ro-RO"/>
              </w:rPr>
              <w:t>FOARTE FRECVENT</w:t>
            </w:r>
          </w:p>
        </w:tc>
      </w:tr>
      <w:tr>
        <w:trPr>
          <w:trHeight w:val="1655" w:hRule="atLeast"/>
          <w:cantSplit/>
        </w:trPr>
        <w:tc>
          <w:tcPr>
            <w:tcW w:w="1180" w:type="dxa"/>
            <w:tcBorders>
              <w:top w:val="single" w:sz="12" w:space="0" w:color="000000"/>
              <w:left w:val="single" w:sz="12" w:space="0" w:color="000000"/>
            </w:tcBorders>
            <w:textDirection w:val="btLr"/>
            <w:vAlign w:val="center"/>
          </w:tcPr>
          <w:p>
            <w:pPr>
              <w:pStyle w:val="Normal"/>
              <w:keepNext w:val="true"/>
              <w:widowControl/>
              <w:spacing w:before="0" w:after="0"/>
              <w:ind w:left="113" w:right="113"/>
              <w:jc w:val="center"/>
              <w:rPr>
                <w:rFonts w:ascii="Arial" w:hAnsi="Arial" w:cs="Arial"/>
                <w:b/>
                <w:sz w:val="18"/>
                <w:szCs w:val="18"/>
              </w:rPr>
            </w:pPr>
            <w:r>
              <w:rPr>
                <w:rFonts w:eastAsia="Arial" w:cs="Arial" w:ascii="Arial" w:hAnsi="Arial"/>
                <w:b/>
                <w:color w:val="auto"/>
                <w:spacing w:val="0"/>
                <w:w w:val="100"/>
                <w:sz w:val="16"/>
                <w:szCs w:val="16"/>
                <w:lang w:val="ro-RO"/>
              </w:rPr>
              <w:t>CLASE DE GRAVITATE</w:t>
            </w:r>
          </w:p>
        </w:tc>
        <w:tc>
          <w:tcPr>
            <w:tcW w:w="2890" w:type="dxa"/>
            <w:gridSpan w:val="3"/>
            <w:tcBorders>
              <w:top w:val="single" w:sz="12" w:space="0" w:color="000000"/>
              <w:left w:val="single" w:sz="12"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CONSECINȚE</w:t>
            </w:r>
          </w:p>
        </w:tc>
        <w:tc>
          <w:tcPr>
            <w:tcW w:w="876" w:type="dxa"/>
            <w:tcBorders>
              <w:top w:val="single" w:sz="12" w:space="0" w:color="000000"/>
              <w:left w:val="single" w:sz="12" w:space="0" w:color="000000"/>
              <w:right w:val="single" w:sz="12"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P &gt; 10 ani</w:t>
            </w:r>
          </w:p>
        </w:tc>
        <w:tc>
          <w:tcPr>
            <w:tcW w:w="872" w:type="dxa"/>
            <w:tcBorders>
              <w:top w:val="single" w:sz="12"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5 ani ≤ P ≤ 10 ani</w:t>
            </w:r>
          </w:p>
        </w:tc>
        <w:tc>
          <w:tcPr>
            <w:tcW w:w="877" w:type="dxa"/>
            <w:tcBorders>
              <w:top w:val="single" w:sz="12" w:space="0" w:color="000000"/>
              <w:left w:val="single" w:sz="12" w:space="0" w:color="000000"/>
              <w:right w:val="single" w:sz="12"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 ani ≤ P ≤ 5 ani</w:t>
            </w:r>
          </w:p>
        </w:tc>
        <w:tc>
          <w:tcPr>
            <w:tcW w:w="871" w:type="dxa"/>
            <w:tcBorders>
              <w:top w:val="single" w:sz="12" w:space="0" w:color="000000"/>
            </w:tcBorders>
            <w:textDirection w:val="btLr"/>
            <w:vAlign w:val="center"/>
          </w:tcPr>
          <w:p>
            <w:pPr>
              <w:pStyle w:val="Normal"/>
              <w:widowControl/>
              <w:spacing w:before="0" w:after="0"/>
              <w:ind w:hanging="93" w:right="-70"/>
              <w:jc w:val="center"/>
              <w:rPr>
                <w:rFonts w:ascii="Arial" w:hAnsi="Arial" w:cs="Arial"/>
                <w:b/>
                <w:sz w:val="18"/>
                <w:szCs w:val="18"/>
              </w:rPr>
            </w:pPr>
            <w:r>
              <w:rPr>
                <w:rFonts w:eastAsia="Arial" w:cs="Arial" w:ascii="Arial" w:hAnsi="Arial"/>
                <w:b/>
                <w:color w:val="auto"/>
                <w:spacing w:val="0"/>
                <w:w w:val="100"/>
                <w:sz w:val="16"/>
                <w:szCs w:val="16"/>
                <w:lang w:val="ro-RO"/>
              </w:rPr>
              <w:t>1 an ≤ P ≤ 2 ani</w:t>
            </w:r>
          </w:p>
        </w:tc>
        <w:tc>
          <w:tcPr>
            <w:tcW w:w="896" w:type="dxa"/>
            <w:tcBorders>
              <w:top w:val="single" w:sz="12" w:space="0" w:color="000000"/>
              <w:left w:val="single" w:sz="12" w:space="0" w:color="000000"/>
              <w:right w:val="single" w:sz="12" w:space="0" w:color="000000"/>
            </w:tcBorders>
            <w:textDirection w:val="btLr"/>
            <w:vAlign w:val="center"/>
          </w:tcPr>
          <w:p>
            <w:pPr>
              <w:pStyle w:val="Normal"/>
              <w:widowControl/>
              <w:spacing w:before="0" w:after="0"/>
              <w:ind w:hanging="146" w:right="-107"/>
              <w:jc w:val="center"/>
              <w:rPr>
                <w:rFonts w:ascii="Arial" w:hAnsi="Arial" w:cs="Arial"/>
                <w:b/>
                <w:sz w:val="18"/>
                <w:szCs w:val="18"/>
              </w:rPr>
            </w:pPr>
            <w:r>
              <w:rPr>
                <w:rFonts w:eastAsia="Arial" w:cs="Arial" w:ascii="Arial" w:hAnsi="Arial"/>
                <w:b/>
                <w:color w:val="auto"/>
                <w:spacing w:val="0"/>
                <w:w w:val="100"/>
                <w:sz w:val="16"/>
                <w:szCs w:val="16"/>
                <w:lang w:val="ro-RO"/>
              </w:rPr>
              <w:t>1 lună</w:t>
            </w:r>
            <w:r>
              <w:rPr>
                <w:rFonts w:eastAsia="Arial" w:cs="Arial" w:ascii="Arial" w:hAnsi="Arial"/>
                <w:color w:val="auto"/>
                <w:spacing w:val="0"/>
                <w:w w:val="100"/>
                <w:sz w:val="16"/>
                <w:szCs w:val="16"/>
                <w:lang w:val="ro-RO"/>
              </w:rPr>
              <w:t xml:space="preserve"> </w:t>
            </w:r>
            <w:r>
              <w:rPr>
                <w:rFonts w:eastAsia="Arial" w:cs="Arial" w:ascii="Arial" w:hAnsi="Arial"/>
                <w:b/>
                <w:color w:val="auto"/>
                <w:spacing w:val="0"/>
                <w:w w:val="100"/>
                <w:sz w:val="16"/>
                <w:szCs w:val="16"/>
                <w:lang w:val="ro-RO"/>
              </w:rPr>
              <w:t>≤ P ≤ 1 an</w:t>
            </w:r>
          </w:p>
        </w:tc>
        <w:tc>
          <w:tcPr>
            <w:tcW w:w="893" w:type="dxa"/>
            <w:tcBorders>
              <w:top w:val="single" w:sz="12" w:space="0" w:color="000000"/>
              <w:right w:val="single" w:sz="12" w:space="0" w:color="000000"/>
            </w:tcBorders>
            <w:textDirection w:val="btLr"/>
            <w:vAlign w:val="center"/>
          </w:tcPr>
          <w:p>
            <w:pPr>
              <w:pStyle w:val="Normal"/>
              <w:widowControl/>
              <w:spacing w:before="0" w:after="0"/>
              <w:ind w:hanging="90" w:right="-144"/>
              <w:jc w:val="center"/>
              <w:rPr>
                <w:rFonts w:ascii="Arial" w:hAnsi="Arial" w:cs="Arial"/>
                <w:b/>
                <w:sz w:val="18"/>
                <w:szCs w:val="18"/>
              </w:rPr>
            </w:pPr>
            <w:r>
              <w:rPr>
                <w:rFonts w:eastAsia="Arial" w:cs="Arial" w:ascii="Arial" w:hAnsi="Arial"/>
                <w:b/>
                <w:color w:val="auto"/>
                <w:spacing w:val="0"/>
                <w:w w:val="100"/>
                <w:sz w:val="16"/>
                <w:szCs w:val="16"/>
                <w:lang w:val="ro-RO"/>
              </w:rPr>
              <w:t>P ≤ 1 lună</w:t>
            </w:r>
          </w:p>
        </w:tc>
      </w:tr>
      <w:tr>
        <w:trPr>
          <w:trHeight w:val="690" w:hRule="atLeast"/>
          <w:cantSplit/>
        </w:trPr>
        <w:tc>
          <w:tcPr>
            <w:tcW w:w="1180" w:type="dxa"/>
            <w:tcBorders>
              <w:top w:val="single" w:sz="12" w:space="0" w:color="000000"/>
              <w:left w:val="single" w:sz="12" w:space="0" w:color="000000"/>
              <w:bottom w:val="single" w:sz="6" w:space="0" w:color="000000"/>
              <w:right w:val="single" w:sz="12"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7</w:t>
            </w:r>
          </w:p>
        </w:tc>
        <w:tc>
          <w:tcPr>
            <w:tcW w:w="1094" w:type="dxa"/>
            <w:tcBorders>
              <w:top w:val="single" w:sz="12" w:space="0" w:color="000000"/>
              <w:bottom w:val="single" w:sz="6" w:space="0" w:color="000000"/>
            </w:tcBorders>
            <w:vAlign w:val="center"/>
          </w:tcPr>
          <w:p>
            <w:pPr>
              <w:pStyle w:val="Normal"/>
              <w:widowControl/>
              <w:spacing w:before="0" w:after="0"/>
              <w:ind w:right="-108"/>
              <w:jc w:val="center"/>
              <w:rPr>
                <w:rFonts w:ascii="Arial" w:hAnsi="Arial" w:cs="Arial"/>
                <w:b/>
                <w:sz w:val="18"/>
                <w:szCs w:val="18"/>
              </w:rPr>
            </w:pPr>
            <w:r>
              <w:rPr>
                <w:rFonts w:eastAsia="Arial" w:cs="Arial" w:ascii="Arial" w:hAnsi="Arial"/>
                <w:b/>
                <w:color w:val="auto"/>
                <w:spacing w:val="0"/>
                <w:w w:val="100"/>
                <w:sz w:val="16"/>
                <w:szCs w:val="16"/>
                <w:lang w:val="ro-RO"/>
              </w:rPr>
              <w:t>MAXIME</w:t>
            </w:r>
          </w:p>
        </w:tc>
        <w:tc>
          <w:tcPr>
            <w:tcW w:w="1796" w:type="dxa"/>
            <w:gridSpan w:val="2"/>
            <w:tcBorders>
              <w:top w:val="single" w:sz="12" w:space="0" w:color="000000"/>
              <w:left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DECES</w:t>
            </w:r>
          </w:p>
        </w:tc>
        <w:tc>
          <w:tcPr>
            <w:tcW w:w="876" w:type="dxa"/>
            <w:tcBorders>
              <w:top w:val="single" w:sz="12" w:space="0" w:color="000000"/>
              <w:left w:val="single" w:sz="12" w:space="0" w:color="000000"/>
              <w:right w:val="single" w:sz="12"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(7,1)</w:t>
            </w:r>
          </w:p>
        </w:tc>
        <w:tc>
          <w:tcPr>
            <w:tcW w:w="872" w:type="dxa"/>
            <w:tcBorders>
              <w:top w:val="single" w:sz="12"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(7,2)</w:t>
            </w:r>
          </w:p>
        </w:tc>
        <w:tc>
          <w:tcPr>
            <w:tcW w:w="877" w:type="dxa"/>
            <w:tcBorders>
              <w:top w:val="single" w:sz="12" w:space="0" w:color="000000"/>
              <w:left w:val="single" w:sz="12" w:space="0" w:color="000000"/>
              <w:bottom w:val="single" w:sz="6" w:space="0" w:color="000000"/>
              <w:right w:val="single" w:sz="12" w:space="0" w:color="000000"/>
            </w:tcBorders>
            <w:shd w:color="auto" w:fill="auto" w:val="pct6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(7,3)</w:t>
            </w:r>
          </w:p>
        </w:tc>
        <w:tc>
          <w:tcPr>
            <w:tcW w:w="871" w:type="dxa"/>
            <w:tcBorders>
              <w:top w:val="single" w:sz="12" w:space="0" w:color="000000"/>
              <w:bottom w:val="single" w:sz="6" w:space="0" w:color="000000"/>
            </w:tcBorders>
            <w:shd w:color="auto" w:fill="auto" w:val="pct8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(7,4)</w:t>
            </w:r>
          </w:p>
        </w:tc>
        <w:tc>
          <w:tcPr>
            <w:tcW w:w="896" w:type="dxa"/>
            <w:tcBorders>
              <w:top w:val="single" w:sz="12" w:space="0" w:color="000000"/>
              <w:left w:val="single" w:sz="12" w:space="0" w:color="000000"/>
              <w:bottom w:val="single" w:sz="6" w:space="0" w:color="000000"/>
              <w:right w:val="single" w:sz="12" w:space="0" w:color="000000"/>
            </w:tcBorders>
            <w:shd w:color="auto" w:fill="auto" w:val="solid"/>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(7,5)</w:t>
            </w:r>
          </w:p>
        </w:tc>
        <w:tc>
          <w:tcPr>
            <w:tcW w:w="893" w:type="dxa"/>
            <w:tcBorders>
              <w:top w:val="single" w:sz="12" w:space="0" w:color="000000"/>
              <w:bottom w:val="single" w:sz="6" w:space="0" w:color="000000"/>
              <w:right w:val="single" w:sz="12" w:space="0" w:color="000000"/>
            </w:tcBorders>
            <w:shd w:color="auto" w:fill="auto" w:val="solid"/>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(7,6)</w:t>
            </w:r>
          </w:p>
        </w:tc>
      </w:tr>
      <w:tr>
        <w:trPr>
          <w:trHeight w:val="705" w:hRule="atLeast"/>
          <w:cantSplit/>
        </w:trPr>
        <w:tc>
          <w:tcPr>
            <w:tcW w:w="1180" w:type="dxa"/>
            <w:tcBorders>
              <w:top w:val="single" w:sz="6" w:space="0" w:color="000000"/>
              <w:left w:val="single" w:sz="12" w:space="0" w:color="000000"/>
              <w:bottom w:val="single" w:sz="6" w:space="0" w:color="000000"/>
              <w:right w:val="single" w:sz="12"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6</w:t>
            </w:r>
          </w:p>
        </w:tc>
        <w:tc>
          <w:tcPr>
            <w:tcW w:w="1094" w:type="dxa"/>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FOARTE GRAVE</w:t>
            </w:r>
          </w:p>
        </w:tc>
        <w:tc>
          <w:tcPr>
            <w:tcW w:w="1796" w:type="dxa"/>
            <w:gridSpan w:val="2"/>
            <w:tcBorders>
              <w:top w:val="single" w:sz="6" w:space="0" w:color="000000"/>
              <w:left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INVALIDITATE GR. I</w:t>
            </w:r>
          </w:p>
        </w:tc>
        <w:tc>
          <w:tcPr>
            <w:tcW w:w="876" w:type="dxa"/>
            <w:tcBorders>
              <w:top w:val="single" w:sz="6" w:space="0" w:color="000000"/>
              <w:left w:val="single" w:sz="12" w:space="0" w:color="000000"/>
              <w:right w:val="single" w:sz="12"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(6,1)</w:t>
            </w:r>
          </w:p>
        </w:tc>
        <w:tc>
          <w:tcPr>
            <w:tcW w:w="872" w:type="dxa"/>
            <w:tcBorders>
              <w:top w:val="single" w:sz="6" w:space="0" w:color="000000"/>
              <w:bottom w:val="single" w:sz="6"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(6,2)</w:t>
            </w:r>
          </w:p>
        </w:tc>
        <w:tc>
          <w:tcPr>
            <w:tcW w:w="877" w:type="dxa"/>
            <w:tcBorders>
              <w:left w:val="single" w:sz="12" w:space="0" w:color="000000"/>
              <w:right w:val="single" w:sz="12" w:space="0" w:color="000000"/>
            </w:tcBorders>
            <w:shd w:color="auto" w:fill="auto" w:val="pct6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(6,3)</w:t>
            </w:r>
          </w:p>
        </w:tc>
        <w:tc>
          <w:tcPr>
            <w:tcW w:w="871" w:type="dxa"/>
            <w:tcBorders/>
            <w:shd w:color="auto" w:fill="auto" w:val="pct8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(6,4)</w:t>
            </w:r>
          </w:p>
        </w:tc>
        <w:tc>
          <w:tcPr>
            <w:tcW w:w="896" w:type="dxa"/>
            <w:tcBorders>
              <w:left w:val="single" w:sz="12" w:space="0" w:color="000000"/>
              <w:right w:val="single" w:sz="12" w:space="0" w:color="000000"/>
            </w:tcBorders>
            <w:shd w:color="auto" w:fill="auto" w:val="pct8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(6,5)</w:t>
            </w:r>
          </w:p>
        </w:tc>
        <w:tc>
          <w:tcPr>
            <w:tcW w:w="893" w:type="dxa"/>
            <w:tcBorders>
              <w:right w:val="single" w:sz="12" w:space="0" w:color="000000"/>
            </w:tcBorders>
            <w:shd w:color="auto" w:fill="auto" w:val="solid"/>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(6,6)</w:t>
            </w:r>
          </w:p>
        </w:tc>
      </w:tr>
      <w:tr>
        <w:trPr>
          <w:trHeight w:val="690" w:hRule="atLeast"/>
          <w:cantSplit/>
        </w:trPr>
        <w:tc>
          <w:tcPr>
            <w:tcW w:w="1180" w:type="dxa"/>
            <w:tcBorders>
              <w:top w:val="single" w:sz="6" w:space="0" w:color="000000"/>
              <w:left w:val="single" w:sz="12" w:space="0" w:color="000000"/>
              <w:bottom w:val="single" w:sz="6" w:space="0" w:color="000000"/>
              <w:right w:val="single" w:sz="12"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5</w:t>
            </w:r>
          </w:p>
        </w:tc>
        <w:tc>
          <w:tcPr>
            <w:tcW w:w="1094" w:type="dxa"/>
            <w:tcBorders>
              <w:top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GRAVE</w:t>
            </w:r>
          </w:p>
        </w:tc>
        <w:tc>
          <w:tcPr>
            <w:tcW w:w="1796" w:type="dxa"/>
            <w:gridSpan w:val="2"/>
            <w:tcBorders>
              <w:top w:val="single" w:sz="6" w:space="0" w:color="000000"/>
              <w:left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INVALIDITATE GR. II</w:t>
            </w:r>
          </w:p>
        </w:tc>
        <w:tc>
          <w:tcPr>
            <w:tcW w:w="876" w:type="dxa"/>
            <w:tcBorders>
              <w:top w:val="single" w:sz="6" w:space="0" w:color="000000"/>
              <w:left w:val="single" w:sz="12" w:space="0" w:color="000000"/>
              <w:bottom w:val="single" w:sz="12" w:space="0" w:color="000000"/>
              <w:right w:val="single" w:sz="12"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(5,1)</w:t>
            </w:r>
          </w:p>
        </w:tc>
        <w:tc>
          <w:tcPr>
            <w:tcW w:w="872" w:type="dxa"/>
            <w:tcBorders>
              <w:bottom w:val="single" w:sz="12"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(5,2)</w:t>
            </w:r>
          </w:p>
        </w:tc>
        <w:tc>
          <w:tcPr>
            <w:tcW w:w="877" w:type="dxa"/>
            <w:tcBorders>
              <w:top w:val="single" w:sz="12" w:space="0" w:color="000000"/>
              <w:left w:val="single" w:sz="6" w:space="0" w:color="000000"/>
              <w:bottom w:val="single" w:sz="6" w:space="0" w:color="000000"/>
              <w:right w:val="single" w:sz="12"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(5,3)</w:t>
            </w:r>
          </w:p>
        </w:tc>
        <w:tc>
          <w:tcPr>
            <w:tcW w:w="871" w:type="dxa"/>
            <w:tcBorders>
              <w:top w:val="single" w:sz="12" w:space="0" w:color="000000"/>
              <w:bottom w:val="single" w:sz="12" w:space="0" w:color="000000"/>
              <w:right w:val="single" w:sz="6" w:space="0" w:color="000000"/>
            </w:tcBorders>
            <w:shd w:color="auto" w:fill="auto" w:val="pct6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(5,4)</w:t>
            </w:r>
          </w:p>
        </w:tc>
        <w:tc>
          <w:tcPr>
            <w:tcW w:w="896" w:type="dxa"/>
            <w:tcBorders>
              <w:top w:val="single" w:sz="12" w:space="0" w:color="000000"/>
              <w:bottom w:val="single" w:sz="6" w:space="0" w:color="000000"/>
              <w:right w:val="single" w:sz="12" w:space="0" w:color="000000"/>
            </w:tcBorders>
            <w:shd w:color="auto" w:fill="auto" w:val="pct6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(5,5)</w:t>
            </w:r>
          </w:p>
        </w:tc>
        <w:tc>
          <w:tcPr>
            <w:tcW w:w="893" w:type="dxa"/>
            <w:tcBorders>
              <w:top w:val="single" w:sz="6" w:space="0" w:color="000000"/>
              <w:right w:val="single" w:sz="12" w:space="0" w:color="000000"/>
            </w:tcBorders>
            <w:shd w:color="auto" w:fill="auto" w:val="pct8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(5,6)</w:t>
            </w:r>
          </w:p>
        </w:tc>
      </w:tr>
      <w:tr>
        <w:trPr>
          <w:trHeight w:val="690" w:hRule="atLeast"/>
          <w:cantSplit/>
        </w:trPr>
        <w:tc>
          <w:tcPr>
            <w:tcW w:w="1180" w:type="dxa"/>
            <w:tcBorders>
              <w:top w:val="single" w:sz="6" w:space="0" w:color="000000"/>
              <w:left w:val="single" w:sz="12" w:space="0" w:color="000000"/>
              <w:bottom w:val="single" w:sz="6" w:space="0" w:color="000000"/>
              <w:right w:val="single" w:sz="12"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1094" w:type="dxa"/>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MARI</w:t>
            </w:r>
          </w:p>
        </w:tc>
        <w:tc>
          <w:tcPr>
            <w:tcW w:w="1796" w:type="dxa"/>
            <w:gridSpan w:val="2"/>
            <w:tcBorders>
              <w:top w:val="single" w:sz="6" w:space="0" w:color="000000"/>
              <w:left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INVALIDITATE GR. III</w:t>
            </w:r>
          </w:p>
        </w:tc>
        <w:tc>
          <w:tcPr>
            <w:tcW w:w="876" w:type="dxa"/>
            <w:tcBorders>
              <w:left w:val="single" w:sz="12" w:space="0" w:color="000000"/>
              <w:right w:val="single" w:sz="12" w:space="0" w:color="000000"/>
            </w:tcBorders>
            <w:shd w:color="auto" w:fill="auto" w:val="pct5"/>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(4,1)</w:t>
            </w:r>
          </w:p>
        </w:tc>
        <w:tc>
          <w:tcPr>
            <w:tcW w:w="872" w:type="dxa"/>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(4,2)</w:t>
            </w:r>
          </w:p>
        </w:tc>
        <w:tc>
          <w:tcPr>
            <w:tcW w:w="877" w:type="dxa"/>
            <w:tcBorders>
              <w:left w:val="single" w:sz="12"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(4,3)</w:t>
            </w:r>
          </w:p>
        </w:tc>
        <w:tc>
          <w:tcPr>
            <w:tcW w:w="871" w:type="dxa"/>
            <w:tcBorders>
              <w:left w:val="single" w:sz="6"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(4,4)</w:t>
            </w:r>
          </w:p>
        </w:tc>
        <w:tc>
          <w:tcPr>
            <w:tcW w:w="896" w:type="dxa"/>
            <w:tcBorders>
              <w:left w:val="single" w:sz="12" w:space="0" w:color="000000"/>
              <w:right w:val="single" w:sz="6" w:space="0" w:color="000000"/>
            </w:tcBorders>
            <w:shd w:color="auto" w:fill="auto" w:val="pct6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(4,5)</w:t>
            </w:r>
          </w:p>
        </w:tc>
        <w:tc>
          <w:tcPr>
            <w:tcW w:w="893" w:type="dxa"/>
            <w:tcBorders>
              <w:top w:val="single" w:sz="12" w:space="0" w:color="000000"/>
              <w:bottom w:val="single" w:sz="12" w:space="0" w:color="000000"/>
              <w:right w:val="single" w:sz="12" w:space="0" w:color="000000"/>
            </w:tcBorders>
            <w:shd w:color="auto" w:fill="auto" w:val="pct6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(4,6)</w:t>
            </w:r>
          </w:p>
        </w:tc>
      </w:tr>
      <w:tr>
        <w:trPr>
          <w:trHeight w:val="690" w:hRule="atLeast"/>
          <w:cantSplit/>
        </w:trPr>
        <w:tc>
          <w:tcPr>
            <w:tcW w:w="1180" w:type="dxa"/>
            <w:tcBorders>
              <w:top w:val="single" w:sz="6" w:space="0" w:color="000000"/>
              <w:left w:val="single" w:sz="12" w:space="0" w:color="000000"/>
              <w:bottom w:val="single" w:sz="6" w:space="0" w:color="000000"/>
              <w:right w:val="single" w:sz="12"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1094" w:type="dxa"/>
            <w:tcBorders>
              <w:top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MEDII</w:t>
            </w:r>
          </w:p>
        </w:tc>
        <w:tc>
          <w:tcPr>
            <w:tcW w:w="1796" w:type="dxa"/>
            <w:gridSpan w:val="2"/>
            <w:tcBorders>
              <w:top w:val="single" w:sz="6" w:space="0" w:color="000000"/>
              <w:left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 45 – 180 ZILE</w:t>
            </w:r>
          </w:p>
        </w:tc>
        <w:tc>
          <w:tcPr>
            <w:tcW w:w="876" w:type="dxa"/>
            <w:tcBorders>
              <w:top w:val="single" w:sz="6" w:space="0" w:color="000000"/>
              <w:left w:val="single" w:sz="12" w:space="0" w:color="000000"/>
              <w:bottom w:val="single" w:sz="12" w:space="0" w:color="000000"/>
            </w:tcBorders>
            <w:shd w:color="auto" w:fill="auto" w:val="pct5"/>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(3,1)</w:t>
            </w:r>
          </w:p>
        </w:tc>
        <w:tc>
          <w:tcPr>
            <w:tcW w:w="872" w:type="dxa"/>
            <w:tcBorders>
              <w:top w:val="single" w:sz="12" w:space="0" w:color="000000"/>
              <w:left w:val="single" w:sz="6" w:space="0" w:color="000000"/>
              <w:bottom w:val="single" w:sz="6" w:space="0" w:color="000000"/>
            </w:tcBorders>
            <w:shd w:color="auto" w:fill="auto" w:val="pct5"/>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(3,2)</w:t>
            </w:r>
          </w:p>
        </w:tc>
        <w:tc>
          <w:tcPr>
            <w:tcW w:w="877" w:type="dxa"/>
            <w:tcBorders>
              <w:top w:val="single" w:sz="12" w:space="0" w:color="000000"/>
              <w:left w:val="single" w:sz="12"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(3,3)</w:t>
            </w:r>
          </w:p>
        </w:tc>
        <w:tc>
          <w:tcPr>
            <w:tcW w:w="871" w:type="dxa"/>
            <w:tcBorders>
              <w:top w:val="single" w:sz="12" w:space="0" w:color="000000"/>
              <w:left w:val="single" w:sz="6" w:space="0" w:color="000000"/>
              <w:bottom w:val="single" w:sz="12"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(3,4)</w:t>
            </w:r>
          </w:p>
        </w:tc>
        <w:tc>
          <w:tcPr>
            <w:tcW w:w="896" w:type="dxa"/>
            <w:tcBorders>
              <w:top w:val="single" w:sz="12" w:space="0" w:color="000000"/>
              <w:left w:val="single" w:sz="12" w:space="0" w:color="000000"/>
              <w:bottom w:val="single" w:sz="12" w:space="0" w:color="000000"/>
              <w:right w:val="single" w:sz="6"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(3,5)</w:t>
            </w:r>
          </w:p>
        </w:tc>
        <w:tc>
          <w:tcPr>
            <w:tcW w:w="893" w:type="dxa"/>
            <w:tcBorders>
              <w:right w:val="single" w:sz="12"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(3,6)</w:t>
            </w:r>
          </w:p>
        </w:tc>
      </w:tr>
      <w:tr>
        <w:trPr>
          <w:trHeight w:val="690" w:hRule="atLeast"/>
          <w:cantSplit/>
        </w:trPr>
        <w:tc>
          <w:tcPr>
            <w:tcW w:w="1180" w:type="dxa"/>
            <w:tcBorders>
              <w:top w:val="single" w:sz="6" w:space="0" w:color="000000"/>
              <w:left w:val="single" w:sz="12" w:space="0" w:color="000000"/>
              <w:bottom w:val="single" w:sz="6" w:space="0" w:color="000000"/>
              <w:right w:val="single" w:sz="12"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1094" w:type="dxa"/>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MICI</w:t>
            </w:r>
          </w:p>
        </w:tc>
        <w:tc>
          <w:tcPr>
            <w:tcW w:w="1796" w:type="dxa"/>
            <w:gridSpan w:val="2"/>
            <w:tcBorders>
              <w:top w:val="single" w:sz="6" w:space="0" w:color="000000"/>
              <w:left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 3 – 45</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ZILE</w:t>
            </w:r>
          </w:p>
        </w:tc>
        <w:tc>
          <w:tcPr>
            <w:tcW w:w="876" w:type="dxa"/>
            <w:tcBorders>
              <w:left w:val="single" w:sz="12" w:space="0" w:color="000000"/>
              <w:right w:val="single" w:sz="12"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(2,1)</w:t>
            </w:r>
          </w:p>
        </w:tc>
        <w:tc>
          <w:tcPr>
            <w:tcW w:w="872" w:type="dxa"/>
            <w:tcBorders/>
            <w:shd w:color="auto" w:fill="auto" w:val="pct5"/>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(2,2)</w:t>
            </w:r>
          </w:p>
        </w:tc>
        <w:tc>
          <w:tcPr>
            <w:tcW w:w="877" w:type="dxa"/>
            <w:tcBorders>
              <w:top w:val="single" w:sz="12" w:space="0" w:color="000000"/>
              <w:left w:val="single" w:sz="6" w:space="0" w:color="000000"/>
              <w:bottom w:val="single" w:sz="12" w:space="0" w:color="000000"/>
              <w:right w:val="single" w:sz="6" w:space="0" w:color="000000"/>
            </w:tcBorders>
            <w:shd w:color="auto" w:fill="auto" w:val="pct5"/>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(2,3)</w:t>
            </w:r>
          </w:p>
        </w:tc>
        <w:tc>
          <w:tcPr>
            <w:tcW w:w="871" w:type="dxa"/>
            <w:tcBorders/>
            <w:shd w:color="auto" w:fill="auto" w:val="pct5"/>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(2,4)</w:t>
            </w:r>
          </w:p>
        </w:tc>
        <w:tc>
          <w:tcPr>
            <w:tcW w:w="896" w:type="dxa"/>
            <w:tcBorders>
              <w:left w:val="single" w:sz="12" w:space="0" w:color="000000"/>
              <w:right w:val="single" w:sz="6"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(2,5)</w:t>
            </w:r>
          </w:p>
        </w:tc>
        <w:tc>
          <w:tcPr>
            <w:tcW w:w="893" w:type="dxa"/>
            <w:tcBorders>
              <w:top w:val="single" w:sz="12" w:space="0" w:color="000000"/>
              <w:bottom w:val="single" w:sz="12" w:space="0" w:color="000000"/>
              <w:right w:val="single" w:sz="12"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r>
          </w:p>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(2,6)</w:t>
            </w:r>
          </w:p>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r>
          </w:p>
        </w:tc>
      </w:tr>
      <w:tr>
        <w:trPr>
          <w:trHeight w:val="762" w:hRule="atLeast"/>
          <w:cantSplit/>
        </w:trPr>
        <w:tc>
          <w:tcPr>
            <w:tcW w:w="1180" w:type="dxa"/>
            <w:tcBorders>
              <w:top w:val="single" w:sz="6" w:space="0" w:color="000000"/>
              <w:left w:val="single" w:sz="12" w:space="0" w:color="000000"/>
              <w:bottom w:val="single" w:sz="12" w:space="0" w:color="000000"/>
              <w:right w:val="single" w:sz="12"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2890" w:type="dxa"/>
            <w:gridSpan w:val="3"/>
            <w:tcBorders>
              <w:top w:val="single" w:sz="6" w:space="0" w:color="000000"/>
              <w:bottom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16"/>
                <w:szCs w:val="16"/>
                <w:lang w:val="ro-RO"/>
              </w:rPr>
              <w:t>NEGLIJABILE</w:t>
            </w:r>
          </w:p>
        </w:tc>
        <w:tc>
          <w:tcPr>
            <w:tcW w:w="876" w:type="dxa"/>
            <w:tcBorders>
              <w:top w:val="single" w:sz="6" w:space="0" w:color="000000"/>
              <w:left w:val="single" w:sz="12" w:space="0" w:color="000000"/>
              <w:bottom w:val="single" w:sz="12"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(1,1)</w:t>
            </w:r>
          </w:p>
        </w:tc>
        <w:tc>
          <w:tcPr>
            <w:tcW w:w="872" w:type="dxa"/>
            <w:tcBorders>
              <w:top w:val="single" w:sz="12"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(1,2)</w:t>
            </w:r>
          </w:p>
        </w:tc>
        <w:tc>
          <w:tcPr>
            <w:tcW w:w="877" w:type="dxa"/>
            <w:tcBorders>
              <w:bottom w:val="single" w:sz="12"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(1,3)</w:t>
            </w:r>
          </w:p>
        </w:tc>
        <w:tc>
          <w:tcPr>
            <w:tcW w:w="871" w:type="dxa"/>
            <w:tcBorders>
              <w:top w:val="single" w:sz="12"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(1,4)</w:t>
            </w:r>
          </w:p>
        </w:tc>
        <w:tc>
          <w:tcPr>
            <w:tcW w:w="896" w:type="dxa"/>
            <w:tcBorders>
              <w:top w:val="single" w:sz="12"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(1,5)</w:t>
            </w:r>
          </w:p>
        </w:tc>
        <w:tc>
          <w:tcPr>
            <w:tcW w:w="893" w:type="dxa"/>
            <w:tcBorders>
              <w:bottom w:val="single" w:sz="12" w:space="0" w:color="000000"/>
              <w:right w:val="single" w:sz="12"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(1,6)</w:t>
            </w:r>
          </w:p>
        </w:tc>
      </w:tr>
    </w:tbl>
    <w:p>
      <w:pPr>
        <w:pStyle w:val="Normal"/>
        <w:pageBreakBefore/>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Anexa Nr. 5.</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SCALA DE ÎNCADRARE A NIVELURILOR DE RISC/SECURITATE</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tabs>
          <w:tab w:val="left" w:pos="720" w:leader="none"/>
          <w:tab w:val="left" w:pos="900"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742"/>
        <w:gridCol w:w="1369"/>
        <w:gridCol w:w="5080"/>
        <w:gridCol w:w="875"/>
        <w:gridCol w:w="1289"/>
      </w:tblGrid>
      <w:tr>
        <w:trPr>
          <w:tblHeader w:val="true"/>
        </w:trPr>
        <w:tc>
          <w:tcPr>
            <w:tcW w:w="2111" w:type="dxa"/>
            <w:gridSpan w:val="2"/>
            <w:tcBorders>
              <w:top w:val="single" w:sz="12" w:space="0" w:color="000000"/>
              <w:left w:val="single" w:sz="12" w:space="0" w:color="000000"/>
              <w:bottom w:val="single" w:sz="12" w:space="0" w:color="000000"/>
              <w:right w:val="single" w:sz="6" w:space="0" w:color="000000"/>
            </w:tcBorders>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NIVEL DE</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RISC</w:t>
            </w:r>
          </w:p>
        </w:tc>
        <w:tc>
          <w:tcPr>
            <w:tcW w:w="5080" w:type="dxa"/>
            <w:tcBorders>
              <w:top w:val="single" w:sz="12" w:space="0" w:color="000000"/>
              <w:left w:val="single" w:sz="6" w:space="0" w:color="000000"/>
              <w:bottom w:val="single" w:sz="12" w:space="0" w:color="000000"/>
              <w:right w:val="single" w:sz="6"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CUPLUL</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GRAVITATE - PROBABILITATE</w:t>
            </w:r>
          </w:p>
        </w:tc>
        <w:tc>
          <w:tcPr>
            <w:tcW w:w="2164" w:type="dxa"/>
            <w:gridSpan w:val="2"/>
            <w:tcBorders>
              <w:top w:val="single" w:sz="12" w:space="0" w:color="000000"/>
              <w:left w:val="single" w:sz="6" w:space="0" w:color="000000"/>
              <w:bottom w:val="single" w:sz="12" w:space="0" w:color="000000"/>
              <w:right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NIVEL DE SECURITATE</w:t>
            </w:r>
          </w:p>
        </w:tc>
      </w:tr>
      <w:tr>
        <w:trPr>
          <w:trHeight w:val="465" w:hRule="atLeast"/>
        </w:trPr>
        <w:tc>
          <w:tcPr>
            <w:tcW w:w="742" w:type="dxa"/>
            <w:tcBorders>
              <w:left w:val="single" w:sz="12" w:space="0" w:color="000000"/>
              <w:bottom w:val="single" w:sz="6" w:space="0" w:color="000000"/>
              <w:right w:val="single" w:sz="4" w:space="0" w:color="000000"/>
            </w:tcBorders>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1</w:t>
            </w:r>
          </w:p>
        </w:tc>
        <w:tc>
          <w:tcPr>
            <w:tcW w:w="1369" w:type="dxa"/>
            <w:tcBorders>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MINIM</w:t>
            </w:r>
          </w:p>
        </w:tc>
        <w:tc>
          <w:tcPr>
            <w:tcW w:w="5080" w:type="dxa"/>
            <w:tcBorders>
              <w:left w:val="single" w:sz="6" w:space="0" w:color="000000"/>
              <w:right w:val="single" w:sz="6" w:space="0" w:color="000000"/>
            </w:tcBorders>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(1,1) (1,2) (1,3) (1,4) (1,5) (1,6) (2,1)</w:t>
            </w:r>
          </w:p>
        </w:tc>
        <w:tc>
          <w:tcPr>
            <w:tcW w:w="875" w:type="dxa"/>
            <w:tcBorders>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7</w:t>
            </w:r>
          </w:p>
        </w:tc>
        <w:tc>
          <w:tcPr>
            <w:tcW w:w="1289" w:type="dxa"/>
            <w:tcBorders>
              <w:left w:val="single" w:sz="4" w:space="0" w:color="000000"/>
              <w:bottom w:val="single" w:sz="4"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MAXIM</w:t>
            </w:r>
          </w:p>
        </w:tc>
      </w:tr>
      <w:tr>
        <w:trPr/>
        <w:tc>
          <w:tcPr>
            <w:tcW w:w="742" w:type="dxa"/>
            <w:tcBorders>
              <w:top w:val="single" w:sz="6" w:space="0" w:color="000000"/>
              <w:left w:val="single" w:sz="12" w:space="0" w:color="000000"/>
              <w:bottom w:val="single" w:sz="6" w:space="0" w:color="000000"/>
              <w:right w:val="single" w:sz="4" w:space="0" w:color="000000"/>
            </w:tcBorders>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2</w:t>
            </w:r>
          </w:p>
        </w:tc>
        <w:tc>
          <w:tcPr>
            <w:tcW w:w="136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FOARTE</w:t>
            </w:r>
          </w:p>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MIC</w:t>
            </w:r>
          </w:p>
        </w:tc>
        <w:tc>
          <w:tcPr>
            <w:tcW w:w="5080" w:type="dxa"/>
            <w:tcBorders>
              <w:top w:val="single" w:sz="6" w:space="0" w:color="000000"/>
              <w:left w:val="single" w:sz="6" w:space="0" w:color="000000"/>
              <w:right w:val="single" w:sz="6" w:space="0" w:color="000000"/>
            </w:tcBorders>
            <w:shd w:color="auto" w:fill="auto" w:val="pct5"/>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(2,2) (2,3) (2,4) (3,1) (3,2) (4,1)</w:t>
            </w:r>
          </w:p>
        </w:tc>
        <w:tc>
          <w:tcPr>
            <w:tcW w:w="875"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6</w:t>
            </w:r>
          </w:p>
        </w:tc>
        <w:tc>
          <w:tcPr>
            <w:tcW w:w="1289" w:type="dxa"/>
            <w:tcBorders>
              <w:top w:val="single" w:sz="4" w:space="0" w:color="000000"/>
              <w:left w:val="single" w:sz="4" w:space="0" w:color="000000"/>
              <w:bottom w:val="single" w:sz="6"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FOARTE MARE</w:t>
            </w:r>
          </w:p>
        </w:tc>
      </w:tr>
      <w:tr>
        <w:trPr>
          <w:trHeight w:val="408" w:hRule="atLeast"/>
        </w:trPr>
        <w:tc>
          <w:tcPr>
            <w:tcW w:w="742" w:type="dxa"/>
            <w:tcBorders>
              <w:top w:val="single" w:sz="6" w:space="0" w:color="000000"/>
              <w:left w:val="single" w:sz="12" w:space="0" w:color="000000"/>
              <w:bottom w:val="single" w:sz="6" w:space="0" w:color="000000"/>
              <w:right w:val="single" w:sz="4" w:space="0" w:color="000000"/>
            </w:tcBorders>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3</w:t>
            </w:r>
          </w:p>
        </w:tc>
        <w:tc>
          <w:tcPr>
            <w:tcW w:w="136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MIC</w:t>
            </w:r>
          </w:p>
        </w:tc>
        <w:tc>
          <w:tcPr>
            <w:tcW w:w="5080" w:type="dxa"/>
            <w:tcBorders>
              <w:top w:val="single" w:sz="6" w:space="0" w:color="000000"/>
              <w:left w:val="single" w:sz="6" w:space="0" w:color="000000"/>
              <w:right w:val="single" w:sz="6" w:space="0" w:color="000000"/>
            </w:tcBorders>
            <w:shd w:color="auto" w:fill="auto" w:val="pct20"/>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(2,5) (2,6) (3,3) (3,4) (4,2) (5,1) (6,1) (7,1)</w:t>
            </w:r>
          </w:p>
        </w:tc>
        <w:tc>
          <w:tcPr>
            <w:tcW w:w="875"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5</w:t>
            </w:r>
          </w:p>
        </w:tc>
        <w:tc>
          <w:tcPr>
            <w:tcW w:w="1289" w:type="dxa"/>
            <w:tcBorders>
              <w:top w:val="single" w:sz="6" w:space="0" w:color="000000"/>
              <w:left w:val="single" w:sz="4" w:space="0" w:color="000000"/>
              <w:bottom w:val="single" w:sz="4"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MARE</w:t>
            </w:r>
          </w:p>
        </w:tc>
      </w:tr>
      <w:tr>
        <w:trPr>
          <w:trHeight w:val="525" w:hRule="atLeast"/>
        </w:trPr>
        <w:tc>
          <w:tcPr>
            <w:tcW w:w="742" w:type="dxa"/>
            <w:tcBorders>
              <w:top w:val="single" w:sz="6" w:space="0" w:color="000000"/>
              <w:left w:val="single" w:sz="12" w:space="0" w:color="000000"/>
              <w:bottom w:val="single" w:sz="6" w:space="0" w:color="000000"/>
              <w:right w:val="single" w:sz="4" w:space="0" w:color="000000"/>
            </w:tcBorders>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4</w:t>
            </w:r>
          </w:p>
        </w:tc>
        <w:tc>
          <w:tcPr>
            <w:tcW w:w="136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MEDIU</w:t>
            </w:r>
          </w:p>
        </w:tc>
        <w:tc>
          <w:tcPr>
            <w:tcW w:w="5080" w:type="dxa"/>
            <w:tcBorders>
              <w:top w:val="single" w:sz="6" w:space="0" w:color="000000"/>
              <w:left w:val="single" w:sz="6" w:space="0" w:color="000000"/>
              <w:right w:val="single" w:sz="6" w:space="0" w:color="000000"/>
            </w:tcBorders>
            <w:shd w:color="auto" w:fill="auto" w:val="pct40"/>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(3,5) (3,6) (4,3) (4,4) (5,2) (5,3) (6,2) (7,2)</w:t>
            </w:r>
          </w:p>
        </w:tc>
        <w:tc>
          <w:tcPr>
            <w:tcW w:w="875"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4</w:t>
            </w:r>
          </w:p>
        </w:tc>
        <w:tc>
          <w:tcPr>
            <w:tcW w:w="1289" w:type="dxa"/>
            <w:tcBorders>
              <w:top w:val="single" w:sz="4" w:space="0" w:color="000000"/>
              <w:left w:val="single" w:sz="4" w:space="0" w:color="000000"/>
              <w:bottom w:val="single" w:sz="4"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MEDIU</w:t>
            </w:r>
          </w:p>
        </w:tc>
      </w:tr>
      <w:tr>
        <w:trPr/>
        <w:tc>
          <w:tcPr>
            <w:tcW w:w="742" w:type="dxa"/>
            <w:tcBorders>
              <w:top w:val="single" w:sz="6" w:space="0" w:color="000000"/>
              <w:left w:val="single" w:sz="12" w:space="0" w:color="000000"/>
              <w:bottom w:val="single" w:sz="6" w:space="0" w:color="000000"/>
              <w:right w:val="single" w:sz="4" w:space="0" w:color="000000"/>
            </w:tcBorders>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5</w:t>
            </w:r>
          </w:p>
        </w:tc>
        <w:tc>
          <w:tcPr>
            <w:tcW w:w="136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MARE</w:t>
            </w:r>
          </w:p>
        </w:tc>
        <w:tc>
          <w:tcPr>
            <w:tcW w:w="5080" w:type="dxa"/>
            <w:tcBorders>
              <w:top w:val="single" w:sz="6" w:space="0" w:color="000000"/>
              <w:left w:val="single" w:sz="6" w:space="0" w:color="000000"/>
              <w:right w:val="single" w:sz="6" w:space="0" w:color="000000"/>
            </w:tcBorders>
            <w:shd w:color="auto" w:fill="auto" w:val="pct60"/>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(4,5) (4,6) (5,4) (5,5) (6,3) (7,3)</w:t>
            </w:r>
          </w:p>
        </w:tc>
        <w:tc>
          <w:tcPr>
            <w:tcW w:w="875"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3</w:t>
            </w:r>
          </w:p>
        </w:tc>
        <w:tc>
          <w:tcPr>
            <w:tcW w:w="1289" w:type="dxa"/>
            <w:tcBorders>
              <w:top w:val="single" w:sz="4" w:space="0" w:color="000000"/>
              <w:left w:val="single" w:sz="4" w:space="0" w:color="000000"/>
              <w:bottom w:val="single" w:sz="4"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MIC</w:t>
            </w:r>
          </w:p>
        </w:tc>
      </w:tr>
      <w:tr>
        <w:trPr/>
        <w:tc>
          <w:tcPr>
            <w:tcW w:w="742" w:type="dxa"/>
            <w:tcBorders>
              <w:top w:val="single" w:sz="6" w:space="0" w:color="000000"/>
              <w:left w:val="single" w:sz="12" w:space="0" w:color="000000"/>
              <w:bottom w:val="single" w:sz="6" w:space="0" w:color="000000"/>
              <w:right w:val="single" w:sz="4" w:space="0" w:color="000000"/>
            </w:tcBorders>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6</w:t>
            </w:r>
          </w:p>
        </w:tc>
        <w:tc>
          <w:tcPr>
            <w:tcW w:w="1369" w:type="dxa"/>
            <w:tcBorders>
              <w:top w:val="single" w:sz="6" w:space="0" w:color="000000"/>
              <w:left w:val="single" w:sz="4"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FOARTE MARE</w:t>
            </w:r>
          </w:p>
        </w:tc>
        <w:tc>
          <w:tcPr>
            <w:tcW w:w="5080" w:type="dxa"/>
            <w:tcBorders>
              <w:top w:val="single" w:sz="6" w:space="0" w:color="000000"/>
              <w:left w:val="single" w:sz="6" w:space="0" w:color="000000"/>
              <w:right w:val="single" w:sz="6" w:space="0" w:color="000000"/>
            </w:tcBorders>
            <w:shd w:color="auto" w:fill="auto" w:val="pct80"/>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(5,6) (6,4) (6,5) (7,4)</w:t>
            </w:r>
          </w:p>
        </w:tc>
        <w:tc>
          <w:tcPr>
            <w:tcW w:w="875"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2</w:t>
            </w:r>
          </w:p>
        </w:tc>
        <w:tc>
          <w:tcPr>
            <w:tcW w:w="1289" w:type="dxa"/>
            <w:tcBorders>
              <w:top w:val="single" w:sz="4" w:space="0" w:color="000000"/>
              <w:left w:val="single" w:sz="4"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FOARTE MIC</w:t>
            </w:r>
          </w:p>
        </w:tc>
      </w:tr>
      <w:tr>
        <w:trPr/>
        <w:tc>
          <w:tcPr>
            <w:tcW w:w="742" w:type="dxa"/>
            <w:tcBorders>
              <w:top w:val="single" w:sz="6" w:space="0" w:color="000000"/>
              <w:left w:val="single" w:sz="12" w:space="0" w:color="000000"/>
              <w:bottom w:val="single" w:sz="12"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7</w:t>
            </w:r>
          </w:p>
        </w:tc>
        <w:tc>
          <w:tcPr>
            <w:tcW w:w="1369" w:type="dxa"/>
            <w:tcBorders>
              <w:top w:val="single" w:sz="6" w:space="0" w:color="000000"/>
              <w:left w:val="single" w:sz="4"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MAXIM</w:t>
            </w:r>
          </w:p>
        </w:tc>
        <w:tc>
          <w:tcPr>
            <w:tcW w:w="5080" w:type="dxa"/>
            <w:tcBorders>
              <w:top w:val="single" w:sz="6" w:space="0" w:color="000000"/>
              <w:left w:val="single" w:sz="6" w:space="0" w:color="000000"/>
              <w:bottom w:val="single" w:sz="12" w:space="0" w:color="000000"/>
              <w:right w:val="single" w:sz="6" w:space="0" w:color="000000"/>
            </w:tcBorders>
            <w:shd w:color="auto" w:fill="auto" w:val="solid"/>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(6,6) (7,5) (7,6)</w:t>
            </w:r>
          </w:p>
        </w:tc>
        <w:tc>
          <w:tcPr>
            <w:tcW w:w="875" w:type="dxa"/>
            <w:tcBorders>
              <w:top w:val="single" w:sz="6" w:space="0" w:color="000000"/>
              <w:left w:val="single" w:sz="6" w:space="0" w:color="000000"/>
              <w:bottom w:val="single" w:sz="12"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1</w:t>
            </w:r>
          </w:p>
        </w:tc>
        <w:tc>
          <w:tcPr>
            <w:tcW w:w="1289" w:type="dxa"/>
            <w:tcBorders>
              <w:top w:val="single" w:sz="6" w:space="0" w:color="000000"/>
              <w:left w:val="single" w:sz="4" w:space="0" w:color="000000"/>
              <w:bottom w:val="single" w:sz="12"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MINIM</w:t>
            </w:r>
          </w:p>
        </w:tc>
      </w:tr>
    </w:tbl>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Anexa Nr. 6.</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ORDINEA IERARHICĂ A MĂSURILOR DE PREVENIRE</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color w:val="auto"/>
          <w:sz w:val="20"/>
          <w:szCs w:val="20"/>
          <w:lang w:val="ro-RO"/>
        </w:rPr>
        <w:t xml:space="preserve">MĂSURI PRIMARE (măsuri de ordinul întâi) – ELIMINAREA RISCURILOR: </w:t>
      </w:r>
      <w:r>
        <w:rPr>
          <w:rFonts w:eastAsia="Arial" w:cs="Arial" w:ascii="Arial" w:hAnsi="Arial"/>
          <w:b w:val="false"/>
          <w:color w:val="auto"/>
          <w:sz w:val="20"/>
          <w:szCs w:val="20"/>
          <w:lang w:val="ro-RO"/>
        </w:rPr>
        <w:t xml:space="preserve">măsurile trebuie să acționeze direct asupra sursei de factori de risc (prevenire intrinsecă).</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color w:val="auto"/>
          <w:sz w:val="20"/>
          <w:szCs w:val="20"/>
          <w:lang w:val="ro-RO"/>
        </w:rPr>
        <w:t xml:space="preserve">MĂSURI SECUNDARE (măsuri de ordinul doi) – IZOLAREA RISCURILOR: </w:t>
      </w:r>
      <w:r>
        <w:rPr>
          <w:rFonts w:eastAsia="Arial" w:cs="Arial" w:ascii="Arial" w:hAnsi="Arial"/>
          <w:b w:val="false"/>
          <w:color w:val="auto"/>
          <w:sz w:val="20"/>
          <w:szCs w:val="20"/>
          <w:lang w:val="ro-RO"/>
        </w:rPr>
        <w:t xml:space="preserve">factorii de risc persistă, dar prin măsuri de protecție colectivă se evită sau diminuează acțiunea lor asupra omului.</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color w:val="auto"/>
          <w:sz w:val="20"/>
          <w:szCs w:val="20"/>
          <w:lang w:val="ro-RO"/>
        </w:rPr>
        <w:t xml:space="preserve">MĂSURI TERȚIARE (măsuri de ordinul trei) – EVITAREA RISCURILOR: </w:t>
      </w:r>
      <w:r>
        <w:rPr>
          <w:rFonts w:eastAsia="Arial" w:cs="Arial" w:ascii="Arial" w:hAnsi="Arial"/>
          <w:b w:val="false"/>
          <w:color w:val="auto"/>
          <w:sz w:val="20"/>
          <w:szCs w:val="20"/>
          <w:lang w:val="ro-RO"/>
        </w:rPr>
        <w:t xml:space="preserve">interacțiunea dintre factorii de risc și om se evită prin măsuri organizatorice și reglementări privind comportamentul.</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color w:val="auto"/>
          <w:sz w:val="20"/>
          <w:szCs w:val="20"/>
          <w:lang w:val="ro-RO"/>
        </w:rPr>
        <w:t xml:space="preserve">MĂSURI CUATERNARE (măsuri de ordinul patru) – IZOLAREA OMULUI: </w:t>
      </w:r>
      <w:r>
        <w:rPr>
          <w:rFonts w:eastAsia="Arial" w:cs="Arial" w:ascii="Arial" w:hAnsi="Arial"/>
          <w:b w:val="false"/>
          <w:color w:val="auto"/>
          <w:sz w:val="20"/>
          <w:szCs w:val="20"/>
          <w:lang w:val="ro-RO"/>
        </w:rPr>
        <w:t xml:space="preserve">limitarea acțiunii factorilor de risc se face prin protecție individuală.</w:t>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BIBLIOGRAFIE</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Băbuț, G., Moraru, R.</w:t>
      </w:r>
      <w:r>
        <w:rPr>
          <w:rFonts w:eastAsia="Arial" w:cs="Arial" w:ascii="Arial" w:hAnsi="Arial"/>
          <w:color w:val="auto"/>
          <w:spacing w:val="0"/>
          <w:w w:val="100"/>
          <w:sz w:val="20"/>
          <w:szCs w:val="20"/>
          <w:lang w:val="ro-RO"/>
        </w:rPr>
        <w:t xml:space="preserve">, </w:t>
      </w:r>
      <w:r>
        <w:rPr>
          <w:rFonts w:eastAsia="Arial" w:cs="Arial" w:ascii="Arial" w:hAnsi="Arial"/>
          <w:i/>
          <w:color w:val="auto"/>
          <w:spacing w:val="0"/>
          <w:w w:val="100"/>
          <w:sz w:val="20"/>
          <w:szCs w:val="20"/>
          <w:lang w:val="ro-RO"/>
        </w:rPr>
        <w:t>Protecția muncii</w:t>
      </w:r>
      <w:r>
        <w:rPr>
          <w:rFonts w:eastAsia="Arial" w:cs="Arial" w:ascii="Arial" w:hAnsi="Arial"/>
          <w:color w:val="auto"/>
          <w:spacing w:val="0"/>
          <w:w w:val="100"/>
          <w:sz w:val="20"/>
          <w:szCs w:val="20"/>
          <w:lang w:val="ro-RO"/>
        </w:rPr>
        <w:t>,</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Editura Universitas, Petroșani, 1999.</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Darabont, Al., Pece, Șt.</w:t>
      </w:r>
      <w:r>
        <w:rPr>
          <w:rFonts w:eastAsia="Arial" w:cs="Arial" w:ascii="Arial" w:hAnsi="Arial"/>
          <w:color w:val="auto"/>
          <w:spacing w:val="0"/>
          <w:w w:val="100"/>
          <w:sz w:val="20"/>
          <w:szCs w:val="20"/>
          <w:lang w:val="ro-RO"/>
        </w:rPr>
        <w:t xml:space="preserve">, </w:t>
      </w:r>
      <w:r>
        <w:rPr>
          <w:rFonts w:eastAsia="Arial" w:cs="Arial" w:ascii="Arial" w:hAnsi="Arial"/>
          <w:i/>
          <w:color w:val="auto"/>
          <w:spacing w:val="0"/>
          <w:w w:val="100"/>
          <w:sz w:val="20"/>
          <w:szCs w:val="20"/>
          <w:lang w:val="ro-RO"/>
        </w:rPr>
        <w:t>Protecția muncii</w:t>
      </w:r>
      <w:r>
        <w:rPr>
          <w:rFonts w:eastAsia="Arial" w:cs="Arial" w:ascii="Arial" w:hAnsi="Arial"/>
          <w:color w:val="auto"/>
          <w:spacing w:val="0"/>
          <w:w w:val="100"/>
          <w:sz w:val="20"/>
          <w:szCs w:val="20"/>
          <w:lang w:val="ro-RO"/>
        </w:rPr>
        <w:t>, Editura Didactică și Pedagogică, București, 1996.</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Darabont, Al., Pece, Șt., Dăscălescu, A.</w:t>
      </w:r>
      <w:r>
        <w:rPr>
          <w:rFonts w:eastAsia="Arial" w:cs="Arial" w:ascii="Arial" w:hAnsi="Arial"/>
          <w:color w:val="auto"/>
          <w:spacing w:val="0"/>
          <w:w w:val="100"/>
          <w:sz w:val="20"/>
          <w:szCs w:val="20"/>
          <w:lang w:val="ro-RO"/>
        </w:rPr>
        <w:t>,</w:t>
      </w:r>
      <w:r>
        <w:rPr>
          <w:rFonts w:eastAsia="Arial" w:cs="Arial" w:ascii="Arial" w:hAnsi="Arial"/>
          <w:b/>
          <w:color w:val="auto"/>
          <w:spacing w:val="0"/>
          <w:w w:val="100"/>
          <w:sz w:val="20"/>
          <w:szCs w:val="20"/>
          <w:lang w:val="ro-RO"/>
        </w:rPr>
        <w:t xml:space="preserve"> </w:t>
      </w:r>
      <w:r>
        <w:rPr>
          <w:rFonts w:eastAsia="Arial" w:cs="Arial" w:ascii="Arial" w:hAnsi="Arial"/>
          <w:i/>
          <w:color w:val="auto"/>
          <w:spacing w:val="0"/>
          <w:w w:val="100"/>
          <w:sz w:val="20"/>
          <w:szCs w:val="20"/>
          <w:lang w:val="ro-RO"/>
        </w:rPr>
        <w:t>Managementul securității și sănătății în muncă (vol. I și II)</w:t>
      </w:r>
      <w:r>
        <w:rPr>
          <w:rFonts w:eastAsia="Arial" w:cs="Arial" w:ascii="Arial" w:hAnsi="Arial"/>
          <w:color w:val="auto"/>
          <w:spacing w:val="0"/>
          <w:w w:val="100"/>
          <w:sz w:val="20"/>
          <w:szCs w:val="20"/>
          <w:lang w:val="ro-RO"/>
        </w:rPr>
        <w:t>, Editura AGIR, București, 2001.</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 xml:space="preserve">Darabont, Al., Darabont, D., Constantin, G., Darabont, D., </w:t>
      </w:r>
      <w:r>
        <w:rPr>
          <w:rFonts w:eastAsia="Arial" w:cs="Arial" w:ascii="Arial" w:hAnsi="Arial"/>
          <w:i/>
          <w:color w:val="auto"/>
          <w:spacing w:val="0"/>
          <w:w w:val="100"/>
          <w:sz w:val="20"/>
          <w:szCs w:val="20"/>
          <w:lang w:val="ro-RO"/>
        </w:rPr>
        <w:t xml:space="preserve">Evaluarea calității de securitate a echipamentelor tehnice, </w:t>
      </w:r>
      <w:r>
        <w:rPr>
          <w:rFonts w:eastAsia="Arial" w:cs="Arial" w:ascii="Arial" w:hAnsi="Arial"/>
          <w:color w:val="auto"/>
          <w:spacing w:val="0"/>
          <w:w w:val="100"/>
          <w:sz w:val="20"/>
          <w:szCs w:val="20"/>
          <w:lang w:val="ro-RO"/>
        </w:rPr>
        <w:t>Editura AGIR, București, 2001.</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Moraru, R., Băbuț, G.</w:t>
      </w:r>
      <w:r>
        <w:rPr>
          <w:rFonts w:eastAsia="Arial" w:cs="Arial" w:ascii="Arial" w:hAnsi="Arial"/>
          <w:color w:val="auto"/>
          <w:spacing w:val="0"/>
          <w:w w:val="100"/>
          <w:sz w:val="20"/>
          <w:szCs w:val="20"/>
          <w:lang w:val="ro-RO"/>
        </w:rPr>
        <w:t xml:space="preserve">, </w:t>
      </w:r>
      <w:r>
        <w:rPr>
          <w:rFonts w:eastAsia="Arial" w:cs="Arial" w:ascii="Arial" w:hAnsi="Arial"/>
          <w:i/>
          <w:color w:val="auto"/>
          <w:spacing w:val="0"/>
          <w:w w:val="100"/>
          <w:sz w:val="20"/>
          <w:szCs w:val="20"/>
          <w:lang w:val="ro-RO"/>
        </w:rPr>
        <w:t>Analiză de risc,</w:t>
      </w:r>
      <w:r>
        <w:rPr>
          <w:rFonts w:eastAsia="Arial" w:cs="Arial" w:ascii="Arial" w:hAnsi="Arial"/>
          <w:color w:val="auto"/>
          <w:spacing w:val="0"/>
          <w:w w:val="100"/>
          <w:sz w:val="20"/>
          <w:szCs w:val="20"/>
          <w:lang w:val="ro-RO"/>
        </w:rPr>
        <w:t xml:space="preserve"> Editura Universitas, Petroșani, 2000.</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Moraru, R., Băbuț, G., Matei, I.</w:t>
      </w:r>
      <w:r>
        <w:rPr>
          <w:rFonts w:eastAsia="Arial" w:cs="Arial" w:ascii="Arial" w:hAnsi="Arial"/>
          <w:color w:val="auto"/>
          <w:spacing w:val="0"/>
          <w:w w:val="100"/>
          <w:sz w:val="20"/>
          <w:szCs w:val="20"/>
          <w:lang w:val="ro-RO"/>
        </w:rPr>
        <w:t xml:space="preserve">, </w:t>
      </w:r>
      <w:r>
        <w:rPr>
          <w:rFonts w:eastAsia="Arial" w:cs="Arial" w:ascii="Arial" w:hAnsi="Arial"/>
          <w:i/>
          <w:color w:val="auto"/>
          <w:spacing w:val="0"/>
          <w:w w:val="100"/>
          <w:sz w:val="20"/>
          <w:szCs w:val="20"/>
          <w:lang w:val="ro-RO"/>
        </w:rPr>
        <w:t>Ghid pentru evaluarea riscurilor profesionale,</w:t>
      </w:r>
      <w:r>
        <w:rPr>
          <w:rFonts w:eastAsia="Arial" w:cs="Arial" w:ascii="Arial" w:hAnsi="Arial"/>
          <w:color w:val="auto"/>
          <w:spacing w:val="0"/>
          <w:w w:val="100"/>
          <w:sz w:val="20"/>
          <w:szCs w:val="20"/>
          <w:lang w:val="ro-RO"/>
        </w:rPr>
        <w:t xml:space="preserve"> Editura Focus, Petroșani, 2002.</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Pece Șt.</w:t>
      </w:r>
      <w:r>
        <w:rPr>
          <w:rFonts w:eastAsia="Arial" w:cs="Arial" w:ascii="Arial" w:hAnsi="Arial"/>
          <w:color w:val="auto"/>
          <w:spacing w:val="0"/>
          <w:w w:val="100"/>
          <w:sz w:val="20"/>
          <w:szCs w:val="20"/>
          <w:lang w:val="ro-RO"/>
        </w:rPr>
        <w:t xml:space="preserve"> - </w:t>
      </w:r>
      <w:r>
        <w:rPr>
          <w:rFonts w:eastAsia="Arial" w:cs="Arial" w:ascii="Arial" w:hAnsi="Arial"/>
          <w:i/>
          <w:color w:val="auto"/>
          <w:spacing w:val="0"/>
          <w:w w:val="100"/>
          <w:sz w:val="20"/>
          <w:szCs w:val="20"/>
          <w:lang w:val="ro-RO"/>
        </w:rPr>
        <w:t>Metode de analiză apriorică a riscurilor profesionale</w:t>
      </w:r>
      <w:r>
        <w:rPr>
          <w:rFonts w:eastAsia="Arial" w:cs="Arial" w:ascii="Arial" w:hAnsi="Arial"/>
          <w:color w:val="auto"/>
          <w:spacing w:val="0"/>
          <w:w w:val="100"/>
          <w:sz w:val="20"/>
          <w:szCs w:val="20"/>
          <w:lang w:val="ro-RO"/>
        </w:rPr>
        <w:t>, I.N.I.D., București, 1993.</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Pece Șt.</w:t>
      </w:r>
      <w:r>
        <w:rPr>
          <w:rFonts w:eastAsia="Arial" w:cs="Arial" w:ascii="Arial" w:hAnsi="Arial"/>
          <w:color w:val="auto"/>
          <w:spacing w:val="0"/>
          <w:w w:val="100"/>
          <w:sz w:val="20"/>
          <w:szCs w:val="20"/>
          <w:lang w:val="ro-RO"/>
        </w:rPr>
        <w:t xml:space="preserve"> - </w:t>
      </w:r>
      <w:r>
        <w:rPr>
          <w:rFonts w:eastAsia="Arial" w:cs="Arial" w:ascii="Arial" w:hAnsi="Arial"/>
          <w:i/>
          <w:color w:val="auto"/>
          <w:spacing w:val="0"/>
          <w:w w:val="100"/>
          <w:sz w:val="20"/>
          <w:szCs w:val="20"/>
          <w:lang w:val="ro-RO"/>
        </w:rPr>
        <w:t>Metodă de evaluare a securității muncii la nivelul microsistemelor (loc de muncă)</w:t>
      </w:r>
      <w:r>
        <w:rPr>
          <w:rFonts w:eastAsia="Arial" w:cs="Arial" w:ascii="Arial" w:hAnsi="Arial"/>
          <w:color w:val="auto"/>
          <w:spacing w:val="0"/>
          <w:w w:val="100"/>
          <w:sz w:val="20"/>
          <w:szCs w:val="20"/>
          <w:lang w:val="ro-RO"/>
        </w:rPr>
        <w:t>, Risc și securitate în muncă, I.C.S.P.M. București, nr. 3-4/ 1994.</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Pece Șt., Dăscălescu A.</w:t>
      </w:r>
      <w:r>
        <w:rPr>
          <w:rFonts w:eastAsia="Arial" w:cs="Arial" w:ascii="Arial" w:hAnsi="Arial"/>
          <w:color w:val="auto"/>
          <w:spacing w:val="0"/>
          <w:w w:val="100"/>
          <w:sz w:val="20"/>
          <w:szCs w:val="20"/>
          <w:lang w:val="ro-RO"/>
        </w:rPr>
        <w:t xml:space="preserve"> - </w:t>
      </w:r>
      <w:r>
        <w:rPr>
          <w:rFonts w:eastAsia="Arial" w:cs="Arial" w:ascii="Arial" w:hAnsi="Arial"/>
          <w:i/>
          <w:color w:val="auto"/>
          <w:spacing w:val="0"/>
          <w:w w:val="100"/>
          <w:sz w:val="20"/>
          <w:szCs w:val="20"/>
          <w:lang w:val="ro-RO"/>
        </w:rPr>
        <w:t>Metodă de evaluare a riscurilor de accidentare și îmbolnăvire profesională la locurile de muncă</w:t>
      </w:r>
      <w:r>
        <w:rPr>
          <w:rFonts w:eastAsia="Arial" w:cs="Arial" w:ascii="Arial" w:hAnsi="Arial"/>
          <w:color w:val="auto"/>
          <w:spacing w:val="0"/>
          <w:w w:val="100"/>
          <w:sz w:val="20"/>
          <w:szCs w:val="20"/>
          <w:lang w:val="ro-RO"/>
        </w:rPr>
        <w:t>, M.M.P.S.-I.C.S.P.M. București, 1998.</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Pece Șt., Dăscălescu A. ș.a.</w:t>
      </w:r>
      <w:r>
        <w:rPr>
          <w:rFonts w:eastAsia="Arial" w:cs="Arial" w:ascii="Arial" w:hAnsi="Arial"/>
          <w:color w:val="auto"/>
          <w:spacing w:val="0"/>
          <w:w w:val="100"/>
          <w:sz w:val="20"/>
          <w:szCs w:val="20"/>
          <w:lang w:val="ro-RO"/>
        </w:rPr>
        <w:t xml:space="preserve"> - </w:t>
      </w:r>
      <w:r>
        <w:rPr>
          <w:rFonts w:eastAsia="Arial" w:cs="Arial" w:ascii="Arial" w:hAnsi="Arial"/>
          <w:i/>
          <w:color w:val="auto"/>
          <w:spacing w:val="0"/>
          <w:w w:val="100"/>
          <w:sz w:val="20"/>
          <w:szCs w:val="20"/>
          <w:lang w:val="ro-RO"/>
        </w:rPr>
        <w:t>Securitate și sănătate în muncă - Dicționar explicativ</w:t>
      </w:r>
      <w:r>
        <w:rPr>
          <w:rFonts w:eastAsia="Arial" w:cs="Arial" w:ascii="Arial" w:hAnsi="Arial"/>
          <w:color w:val="auto"/>
          <w:spacing w:val="0"/>
          <w:w w:val="100"/>
          <w:sz w:val="20"/>
          <w:szCs w:val="20"/>
          <w:lang w:val="ro-RO"/>
        </w:rPr>
        <w:t>, Editura GENICOD, București, 2001.</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Pece Șt.</w:t>
      </w:r>
      <w:r>
        <w:rPr>
          <w:rFonts w:eastAsia="Arial" w:cs="Arial" w:ascii="Arial" w:hAnsi="Arial"/>
          <w:color w:val="auto"/>
          <w:spacing w:val="0"/>
          <w:w w:val="100"/>
          <w:sz w:val="20"/>
          <w:szCs w:val="20"/>
          <w:lang w:val="ro-RO"/>
        </w:rPr>
        <w:t xml:space="preserve"> - </w:t>
      </w:r>
      <w:r>
        <w:rPr>
          <w:rFonts w:eastAsia="Arial" w:cs="Arial" w:ascii="Arial" w:hAnsi="Arial"/>
          <w:i/>
          <w:color w:val="auto"/>
          <w:spacing w:val="0"/>
          <w:w w:val="100"/>
          <w:sz w:val="20"/>
          <w:szCs w:val="20"/>
          <w:lang w:val="ro-RO"/>
        </w:rPr>
        <w:t>Evaluarea riscurilor în sistemul om-mașină</w:t>
      </w:r>
      <w:r>
        <w:rPr>
          <w:rFonts w:eastAsia="Arial" w:cs="Arial" w:ascii="Arial" w:hAnsi="Arial"/>
          <w:color w:val="auto"/>
          <w:spacing w:val="0"/>
          <w:w w:val="100"/>
          <w:sz w:val="20"/>
          <w:szCs w:val="20"/>
          <w:lang w:val="ro-RO"/>
        </w:rPr>
        <w:t>, Editura Atlas Press, București, 2003.</w:t>
      </w:r>
    </w:p>
    <w:p>
      <w:pPr>
        <w:pStyle w:val="Heading1"/>
        <w:widowControl/>
        <w:numPr>
          <w:ilvl w:val="0"/>
          <w:numId w:val="16"/>
        </w:numPr>
        <w:spacing w:before="0" w:after="40"/>
        <w:jc w:val="left"/>
        <w:rPr>
          <w:rFonts w:ascii="Arial" w:hAnsi="Arial" w:cs="Arial"/>
          <w:b w:val="false"/>
          <w:spacing w:val="-4"/>
          <w:sz w:val="18"/>
          <w:szCs w:val="18"/>
          <w:lang w:val="ro-RO"/>
        </w:rPr>
      </w:pPr>
      <w:r>
        <w:rPr>
          <w:rFonts w:eastAsia="Arial" w:cs="Arial" w:ascii="Arial" w:hAnsi="Arial"/>
          <w:color w:val="auto"/>
          <w:spacing w:val="0"/>
          <w:w w:val="100"/>
          <w:sz w:val="20"/>
          <w:szCs w:val="20"/>
          <w:lang w:val="ro-RO"/>
        </w:rPr>
        <w:t xml:space="preserve">Legea nr. 319/2006</w:t>
      </w:r>
      <w:r>
        <w:rPr>
          <w:rFonts w:eastAsia="Arial" w:cs="Arial" w:ascii="Arial" w:hAnsi="Arial"/>
          <w:b w:val="false"/>
          <w:i/>
          <w:color w:val="auto"/>
          <w:spacing w:val="0"/>
          <w:w w:val="100"/>
          <w:sz w:val="20"/>
          <w:szCs w:val="20"/>
          <w:lang w:val="ro-RO"/>
        </w:rPr>
        <w:t xml:space="preserve"> privind securitatea și sănătatea în muncă</w:t>
      </w:r>
      <w:r>
        <w:rPr>
          <w:rFonts w:eastAsia="Arial" w:cs="Arial" w:ascii="Arial" w:hAnsi="Arial"/>
          <w:b w:val="false"/>
          <w:color w:val="auto"/>
          <w:spacing w:val="0"/>
          <w:w w:val="100"/>
          <w:sz w:val="20"/>
          <w:szCs w:val="20"/>
          <w:lang w:val="ro-RO"/>
        </w:rPr>
        <w:t>.</w:t>
      </w:r>
    </w:p>
    <w:p>
      <w:pPr>
        <w:pStyle w:val="Normal"/>
        <w:widowControl/>
        <w:numPr>
          <w:ilvl w:val="0"/>
          <w:numId w:val="16"/>
        </w:numPr>
        <w:shd w:val="clear" w:color="auto" w:fill="FFFFFF"/>
        <w:spacing w:before="0" w:after="40"/>
        <w:jc w:val="left"/>
        <w:rPr>
          <w:rFonts w:ascii="Arial" w:hAnsi="Arial" w:cs="Arial"/>
          <w:b/>
          <w:sz w:val="18"/>
          <w:szCs w:val="18"/>
        </w:rPr>
      </w:pPr>
      <w:r>
        <w:rPr>
          <w:rFonts w:eastAsia="Arial" w:cs="Arial" w:ascii="Arial" w:hAnsi="Arial"/>
          <w:b/>
          <w:color w:val="auto"/>
          <w:spacing w:val="0"/>
          <w:w w:val="100"/>
          <w:sz w:val="20"/>
          <w:szCs w:val="20"/>
          <w:lang w:val="ro-RO"/>
        </w:rPr>
        <w:t>H.G. 1425</w:t>
      </w:r>
      <w:r>
        <w:rPr>
          <w:rFonts w:eastAsia="Arial" w:cs="Arial" w:ascii="Arial" w:hAnsi="Arial"/>
          <w:b/>
          <w:bCs/>
          <w:color w:val="auto"/>
          <w:spacing w:val="0"/>
          <w:w w:val="100"/>
          <w:sz w:val="20"/>
          <w:szCs w:val="20"/>
          <w:lang w:val="ro-RO"/>
        </w:rPr>
        <w:t xml:space="preserve">/2006</w:t>
      </w:r>
      <w:r>
        <w:rPr>
          <w:rFonts w:eastAsia="Arial" w:cs="Arial" w:ascii="Arial" w:hAnsi="Arial"/>
          <w:bCs/>
          <w:i/>
          <w:color w:val="auto"/>
          <w:spacing w:val="0"/>
          <w:w w:val="100"/>
          <w:sz w:val="20"/>
          <w:szCs w:val="20"/>
          <w:lang w:val="ro-RO"/>
        </w:rPr>
        <w:t xml:space="preserve"> </w:t>
      </w:r>
      <w:r>
        <w:rPr>
          <w:rFonts w:eastAsia="Arial" w:cs="Arial" w:ascii="Arial" w:hAnsi="Arial"/>
          <w:i/>
          <w:color w:val="auto"/>
          <w:spacing w:val="0"/>
          <w:w w:val="100"/>
          <w:sz w:val="20"/>
          <w:szCs w:val="20"/>
          <w:lang w:val="ro-RO"/>
        </w:rPr>
        <w:t xml:space="preserve">privind aprobarea Normelor Metodologice de aplicare a Legii nr. 319/2006.</w:t>
      </w:r>
    </w:p>
    <w:p>
      <w:pPr>
        <w:pStyle w:val="Normal"/>
        <w:widowControl/>
        <w:numPr>
          <w:ilvl w:val="0"/>
          <w:numId w:val="16"/>
        </w:numPr>
        <w:shd w:val="clear" w:color="auto" w:fill="FFFFFF"/>
        <w:spacing w:before="0" w:after="40"/>
        <w:jc w:val="left"/>
        <w:rPr>
          <w:rFonts w:ascii="Arial" w:hAnsi="Arial" w:cs="Arial"/>
          <w:bCs/>
          <w:sz w:val="18"/>
          <w:szCs w:val="18"/>
        </w:rPr>
      </w:pPr>
      <w:r>
        <w:rPr>
          <w:rFonts w:eastAsia="Arial" w:cs="Arial" w:ascii="Arial" w:hAnsi="Arial"/>
          <w:b/>
          <w:color w:val="auto"/>
          <w:spacing w:val="0"/>
          <w:w w:val="100"/>
          <w:sz w:val="20"/>
          <w:szCs w:val="20"/>
          <w:lang w:val="ro-RO"/>
        </w:rPr>
        <w:t xml:space="preserve">H.G. 259/2022 </w:t>
      </w:r>
      <w:r>
        <w:rPr>
          <w:rFonts w:eastAsia="Arial" w:cs="Arial" w:ascii="Arial" w:hAnsi="Arial"/>
          <w:bCs/>
          <w:color w:val="auto"/>
          <w:spacing w:val="0"/>
          <w:w w:val="100"/>
          <w:sz w:val="20"/>
          <w:szCs w:val="20"/>
          <w:lang w:val="ro-RO"/>
        </w:rPr>
        <w:t>pentru modificarea și completarea Normelor metodologice de aplicare a prevederilor Legii securității și sănătății în muncă nr. 319/2006, aprobate prin Hotărârea Guvernului nr. 1.425/2006</w:t>
      </w:r>
      <w:r>
        <w:rPr>
          <w:rFonts w:eastAsia="Arial" w:cs="Arial" w:ascii="Arial" w:hAnsi="Arial"/>
          <w:bCs/>
          <w:i/>
          <w:color w:val="auto"/>
          <w:spacing w:val="0"/>
          <w:w w:val="100"/>
          <w:sz w:val="20"/>
          <w:szCs w:val="20"/>
          <w:lang w:val="ro-RO"/>
        </w:rPr>
        <w:t>.</w:t>
      </w:r>
    </w:p>
    <w:p>
      <w:pPr>
        <w:pStyle w:val="Normal"/>
        <w:widowControl/>
        <w:spacing w:lineRule="auto" w:line="360" w:before="0" w:after="0"/>
        <w:ind w:hanging="360" w:left="360"/>
        <w:jc w:val="left"/>
        <w:rPr>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r>
        <w:br w:type="page"/>
      </w:r>
    </w:p>
    <w:p>
      <w:pPr>
        <w:pStyle w:val="Normal"/>
        <w:keepNext w:val="true"/>
        <w:widowControl/>
        <w:numPr>
          <w:ilvl w:val="0"/>
          <w:numId w:val="0"/>
        </w:numPr>
        <w:spacing w:before="240" w:after="120"/>
        <w:ind w:hanging="0" w:left="0"/>
        <w:jc w:val="center"/>
        <w:rPr>
          <w:rFonts w:ascii="Arial" w:hAnsi="Arial" w:cs="Arial"/>
          <w:b/>
          <w:sz w:val="20"/>
          <w:szCs w:val="20"/>
        </w:rPr>
      </w:pPr>
      <w:r>
        <w:rPr>
          <w:rFonts w:eastAsia="Arial" w:cs="Arial" w:ascii="Arial" w:hAnsi="Arial"/>
          <w:b/>
          <w:i w:val="false"/>
          <w:color w:val="auto"/>
          <w:spacing w:val="0"/>
          <w:w w:val="100"/>
          <w:sz w:val="20"/>
          <w:szCs w:val="20"/>
          <w:lang w:val="ro-RO"/>
        </w:rPr>
        <w:t>CAPITOLUL V. UTILIZAREA METODEI ELABORATE DE I.N.C.D.P.M. BUCUREȘTI PENTRU EVALUAREA RISCURILOR DE ACCIDENTARE ȘI ÎMBOLNĂVIRE PROFESIONALĂ LA {{client.legalName}}</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{{#riskAssessment.evaluations}}</w:t>
      </w:r>
    </w:p>
    <w:p>
      <w:pPr>
        <w:pStyle w:val="Normal"/>
        <w:keepNext w:val="true"/>
        <w:pageBreakBefore w:val="false"/>
        <w:widowControl/>
        <w:numPr>
          <w:ilvl w:val="0"/>
          <w:numId w:val="0"/>
        </w:numPr>
        <w:spacing w:before="240" w:after="120"/>
        <w:ind w:hanging="0" w:left="0"/>
        <w:jc w:val="center"/>
        <w:rPr>
          <w:rFonts w:ascii="Arial" w:hAnsi="Arial" w:cs="Arial"/>
          <w:b/>
          <w:sz w:val="20"/>
          <w:szCs w:val="20"/>
        </w:rPr>
      </w:pPr>
      <w:r>
        <w:rPr>
          <w:rFonts w:eastAsia="Arial" w:cs="Arial" w:ascii="Arial" w:hAnsi="Arial"/>
          <w:b/>
          <w:i w:val="false"/>
          <w:color w:val="auto"/>
          <w:spacing w:val="0"/>
          <w:w w:val="100"/>
          <w:sz w:val="20"/>
          <w:szCs w:val="20"/>
          <w:lang w:val="ro-RO"/>
        </w:rPr>
        <w:t>SUBCAPITOLUL V.{{roman}}. EVALUAREA RISCURILOR DE ACCIDENTARE ȘI ÎMBOLNĂVIRE PROFESIONALĂ PENTRU {{heading}}</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I. DEFINIREA LOCULUI DE MUNCĂ, ANALIZA PROCESULUI DE MUNCĂ ȘI DETERMINAREA ELEMENTELOR COMPONENTE ALE SISTEMULUI DE MUNCĂ EVALUAT</w:t>
      </w:r>
    </w:p>
    <w:p>
      <w:pPr>
        <w:pStyle w:val="Normal"/>
        <w:keepNext w:val="tru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Punctele de referință ale evaluării riscurilor de accidentare și îmbolnăvire profesională sunt sarcina de muncă, mediul de muncă și condițiile de interacțiune cu mijloacele de producție. Componentele sistemului de muncă evaluat sunt:</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color w:val="auto"/>
          <w:sz w:val="20"/>
          <w:szCs w:val="20"/>
          <w:lang w:val="ro-RO"/>
        </w:rPr>
        <w:t xml:space="preserve">Executant: </w:t>
      </w:r>
      <w:r>
        <w:rPr>
          <w:rFonts w:eastAsia="Arial" w:cs="Arial" w:ascii="Arial" w:hAnsi="Arial"/>
          <w:b w:val="false"/>
          <w:color w:val="auto"/>
          <w:sz w:val="20"/>
          <w:szCs w:val="20"/>
          <w:lang w:val="ro-RO"/>
        </w:rPr>
        <w:t xml:space="preserve">{{workSystem.executant}}</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color w:val="auto"/>
          <w:sz w:val="20"/>
          <w:szCs w:val="20"/>
          <w:lang w:val="ro-RO"/>
        </w:rPr>
        <w:t xml:space="preserve">Sarcina de muncă: </w:t>
      </w:r>
      <w:r>
        <w:rPr>
          <w:rFonts w:eastAsia="Arial" w:cs="Arial" w:ascii="Arial" w:hAnsi="Arial"/>
          <w:b w:val="false"/>
          <w:color w:val="auto"/>
          <w:sz w:val="20"/>
          <w:szCs w:val="20"/>
          <w:lang w:val="ro-RO"/>
        </w:rPr>
        <w:t xml:space="preserve">{{workSystem.workTask}}</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color w:val="auto"/>
          <w:sz w:val="20"/>
          <w:szCs w:val="20"/>
          <w:lang w:val="ro-RO"/>
        </w:rPr>
        <w:t xml:space="preserve">Mijloacele de producție: </w:t>
      </w:r>
      <w:r>
        <w:rPr>
          <w:rFonts w:eastAsia="Arial" w:cs="Arial" w:ascii="Arial" w:hAnsi="Arial"/>
          <w:b w:val="false"/>
          <w:color w:val="auto"/>
          <w:sz w:val="20"/>
          <w:szCs w:val="20"/>
          <w:lang w:val="ro-RO"/>
        </w:rPr>
        <w:t xml:space="preserve">{{workSystem.meansOfProduction}}</w:t>
      </w:r>
    </w:p>
    <w:p>
      <w:pPr>
        <w:pStyle w:val="Normal"/>
        <w:keepNext w:val="false"/>
        <w:pageBreakBefore w:val="false"/>
        <w:widowControl/>
        <w:numPr>
          <w:ilvl w:val="0"/>
          <w:numId w:val="0"/>
        </w:numPr>
        <w:spacing w:before="0" w:after="120"/>
        <w:ind w:hanging="0" w:left="360"/>
        <w:jc w:val="left"/>
        <w:rPr>
          <w:rFonts w:ascii="Arial" w:hAnsi="Arial" w:cs="Arial"/>
          <w:sz w:val="20"/>
          <w:szCs w:val="20"/>
        </w:rPr>
      </w:pPr>
      <w:r>
        <w:rPr>
          <w:rFonts w:eastAsia="Arial" w:cs="Arial" w:ascii="Arial" w:hAnsi="Arial"/>
          <w:b/>
          <w:color w:val="auto"/>
          <w:sz w:val="20"/>
          <w:szCs w:val="20"/>
          <w:lang w:val="ro-RO"/>
        </w:rPr>
        <w:t xml:space="preserve">Mediul de muncă: </w:t>
      </w:r>
      <w:r>
        <w:rPr>
          <w:rFonts w:eastAsia="Arial" w:cs="Arial" w:ascii="Arial" w:hAnsi="Arial"/>
          <w:b w:val="false"/>
          <w:color w:val="auto"/>
          <w:sz w:val="20"/>
          <w:szCs w:val="20"/>
          <w:lang w:val="ro-RO"/>
        </w:rPr>
        <w:t xml:space="preserve">{{workSystem.workEnvironment}}</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II. IDENTIFICAREA FACTORILOR DE RISC SPECIFICI LOCULUI DE MUNCĂ</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{{#components}}</w:t>
      </w:r>
    </w:p>
    <w:p>
      <w:pPr>
        <w:pStyle w:val="Normal"/>
        <w:keepNext w:val="tru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{{$index}}. Factori de risc proprii {{of}}:</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{{#noFactors}}</w:t>
      </w:r>
    </w:p>
    <w:p>
      <w:pPr>
        <w:pStyle w:val="Normal"/>
        <w:keepNext w:val="false"/>
        <w:pageBreakBefore w:val="false"/>
        <w:widowControl/>
        <w:numPr>
          <w:ilvl w:val="0"/>
          <w:numId w:val="0"/>
        </w:numPr>
        <w:spacing w:before="0" w:after="40"/>
        <w:ind w:hanging="0" w:left="360"/>
        <w:jc w:val="left"/>
        <w:rPr>
          <w:rFonts w:ascii="Arial" w:hAnsi="Arial" w:cs="Arial"/>
          <w:b/>
          <w:sz w:val="20"/>
          <w:szCs w:val="20"/>
        </w:rPr>
      </w:pPr>
      <w:r>
        <w:rPr>
          <w:rFonts w:eastAsia="Arial" w:cs="Arial" w:ascii="Arial" w:hAnsi="Arial"/>
          <w:b w:val="false"/>
          <w:i w:val="false"/>
          <w:color w:val="auto"/>
          <w:spacing w:val="0"/>
          <w:w w:val="100"/>
          <w:sz w:val="20"/>
          <w:szCs w:val="20"/>
          <w:lang w:val="ro-RO"/>
        </w:rPr>
        <w:t>Nu au fost identificați factori de risc proprii {{of}}.</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{{/noFactors}}</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{{#groups}}</w:t>
      </w:r>
    </w:p>
    <w:p>
      <w:pPr>
        <w:pStyle w:val="Normal"/>
        <w:keepNext w:val="true"/>
        <w:pageBreakBefore w:val="false"/>
        <w:widowControl/>
        <w:numPr>
          <w:ilvl w:val="0"/>
          <w:numId w:val="0"/>
        </w:numPr>
        <w:spacing w:before="0" w:after="40"/>
        <w:ind w:hanging="0" w:left="360"/>
        <w:jc w:val="left"/>
        <w:rPr>
          <w:rFonts w:ascii="Arial" w:hAnsi="Arial" w:cs="Arial"/>
          <w:b/>
          <w:sz w:val="20"/>
          <w:szCs w:val="20"/>
        </w:rPr>
      </w:pPr>
      <w:r>
        <w:rPr>
          <w:rFonts w:eastAsia="Arial" w:cs="Arial" w:ascii="Arial" w:hAnsi="Arial"/>
          <w:b w:val="false"/>
          <w:i w:val="false"/>
          <w:color w:val="auto"/>
          <w:spacing w:val="0"/>
          <w:w w:val="100"/>
          <w:sz w:val="20"/>
          <w:szCs w:val="20"/>
          <w:lang w:val="ro-RO"/>
        </w:rPr>
        <w:t>{{letter}}) {{name}}:</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{{#factors}}</w:t>
      </w:r>
    </w:p>
    <w:p>
      <w:pPr>
        <w:pStyle w:val="Normal"/>
        <w:keepNext w:val="false"/>
        <w:pageBreakBefore w:val="false"/>
        <w:widowControl/>
        <w:numPr>
          <w:ilvl w:val="0"/>
          <w:numId w:val="0"/>
        </w:numPr>
        <w:spacing w:before="0" w:after="40"/>
        <w:ind w:hanging="0" w:left="720"/>
        <w:jc w:val="left"/>
        <w:rPr>
          <w:rFonts w:ascii="Arial" w:hAnsi="Arial" w:cs="Arial"/>
          <w:b/>
          <w:sz w:val="20"/>
          <w:szCs w:val="20"/>
        </w:rPr>
      </w:pPr>
      <w:r>
        <w:rPr>
          <w:rFonts w:eastAsia="Arial" w:cs="Arial" w:ascii="Arial" w:hAnsi="Arial"/>
          <w:b w:val="false"/>
          <w:i w:val="false"/>
          <w:color w:val="auto"/>
          <w:spacing w:val="0"/>
          <w:w w:val="100"/>
          <w:sz w:val="20"/>
          <w:szCs w:val="20"/>
          <w:lang w:val="ro-RO"/>
        </w:rPr>
        <w:t>{{code}}. {{description}}</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{{/factors}}</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{{/groups}}</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{{/components}}</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III. FIȘA DE EVALUARE A RISCURILOR DE ACCIDENTARE ȘI/SAU ÎMBOLNĂVIRE PROFESIONALĂ</w:t>
      </w:r>
    </w:p>
    <w:p>
      <w:pPr>
        <w:pStyle w:val="Normal"/>
        <w:keepNext w:val="tru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color w:val="auto"/>
          <w:sz w:val="20"/>
          <w:szCs w:val="20"/>
          <w:lang w:val="ro-RO"/>
        </w:rPr>
        <w:t xml:space="preserve">Unitatea: </w:t>
      </w:r>
      <w:r>
        <w:rPr>
          <w:rFonts w:eastAsia="Arial" w:cs="Arial" w:ascii="Arial" w:hAnsi="Arial"/>
          <w:b w:val="false"/>
          <w:color w:val="auto"/>
          <w:sz w:val="20"/>
          <w:szCs w:val="20"/>
          <w:lang w:val="ro-RO"/>
        </w:rPr>
        <w:t xml:space="preserve">{{client.legalName}}</w:t>
      </w:r>
      <w:r>
        <w:br/>
      </w:r>
      <w:r>
        <w:rPr>
          <w:rFonts w:eastAsia="Arial" w:cs="Arial" w:ascii="Arial" w:hAnsi="Arial"/>
          <w:b/>
          <w:color w:val="auto"/>
          <w:sz w:val="20"/>
          <w:szCs w:val="20"/>
          <w:lang w:val="ro-RO"/>
        </w:rPr>
        <w:t xml:space="preserve">Locul de muncă: </w:t>
      </w:r>
      <w:r>
        <w:rPr>
          <w:rFonts w:eastAsia="Arial" w:cs="Arial" w:ascii="Arial" w:hAnsi="Arial"/>
          <w:b w:val="false"/>
          <w:color w:val="auto"/>
          <w:sz w:val="20"/>
          <w:szCs w:val="20"/>
          <w:lang w:val="ro-RO"/>
        </w:rPr>
        <w:t xml:space="preserve">{{workZoneOrDash}}</w:t>
      </w:r>
      <w:r>
        <w:br/>
      </w:r>
      <w:r>
        <w:rPr>
          <w:rFonts w:eastAsia="Arial" w:cs="Arial" w:ascii="Arial" w:hAnsi="Arial"/>
          <w:b/>
          <w:color w:val="auto"/>
          <w:sz w:val="20"/>
          <w:szCs w:val="20"/>
          <w:lang w:val="ro-RO"/>
        </w:rPr>
        <w:t xml:space="preserve">Postul de lucru: </w:t>
      </w:r>
      <w:r>
        <w:rPr>
          <w:rFonts w:eastAsia="Arial" w:cs="Arial" w:ascii="Arial" w:hAnsi="Arial"/>
          <w:b w:val="false"/>
          <w:color w:val="auto"/>
          <w:sz w:val="20"/>
          <w:szCs w:val="20"/>
          <w:lang w:val="ro-RO"/>
        </w:rPr>
        <w:t xml:space="preserve">{{name}}</w:t>
      </w:r>
    </w:p>
    <w:p>
      <w:pPr>
        <w:pStyle w:val="Normal"/>
        <w:keepNext w:val="tru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color w:val="auto"/>
          <w:sz w:val="20"/>
          <w:szCs w:val="20"/>
          <w:lang w:val="ro-RO"/>
        </w:rPr>
        <w:t xml:space="preserve">Număr persoane expuse: </w:t>
      </w:r>
      <w:r>
        <w:rPr>
          <w:rFonts w:eastAsia="Arial" w:cs="Arial" w:ascii="Arial" w:hAnsi="Arial"/>
          <w:b w:val="false"/>
          <w:color w:val="auto"/>
          <w:sz w:val="20"/>
          <w:szCs w:val="20"/>
          <w:lang w:val="ro-RO"/>
        </w:rPr>
        <w:t xml:space="preserve">{{exposedPersons}}</w:t>
      </w:r>
      <w:r>
        <w:br/>
      </w:r>
      <w:r>
        <w:rPr>
          <w:rFonts w:eastAsia="Arial" w:cs="Arial" w:ascii="Arial" w:hAnsi="Arial"/>
          <w:b/>
          <w:color w:val="auto"/>
          <w:sz w:val="20"/>
          <w:szCs w:val="20"/>
          <w:lang w:val="ro-RO"/>
        </w:rPr>
        <w:t xml:space="preserve">Durata expunerii: </w:t>
      </w:r>
      <w:r>
        <w:rPr>
          <w:rFonts w:eastAsia="Arial" w:cs="Arial" w:ascii="Arial" w:hAnsi="Arial"/>
          <w:b w:val="false"/>
          <w:color w:val="auto"/>
          <w:sz w:val="20"/>
          <w:szCs w:val="20"/>
          <w:lang w:val="ro-RO"/>
        </w:rPr>
        <w:t xml:space="preserve">{{exposure}}</w:t>
      </w:r>
      <w:r>
        <w:br/>
      </w:r>
      <w:r>
        <w:rPr>
          <w:rFonts w:eastAsia="Arial" w:cs="Arial" w:ascii="Arial" w:hAnsi="Arial"/>
          <w:b/>
          <w:color w:val="auto"/>
          <w:sz w:val="20"/>
          <w:szCs w:val="20"/>
          <w:lang w:val="ro-RO"/>
        </w:rPr>
        <w:t xml:space="preserve">Echipa de evaluare: </w:t>
      </w:r>
      <w:r>
        <w:rPr>
          <w:rFonts w:eastAsia="Arial" w:cs="Arial" w:ascii="Arial" w:hAnsi="Arial"/>
          <w:b w:val="false"/>
          <w:color w:val="auto"/>
          <w:sz w:val="20"/>
          <w:szCs w:val="20"/>
          <w:lang w:val="ro-RO"/>
        </w:rPr>
        <w:t xml:space="preserve">{{#evaluationTeam}}{{name}} ({{jobTitle}}), {{/evaluationTeam}}{{specialist.name}} ({{specialist.professionalTitle}})</w:t>
      </w:r>
    </w:p>
    <w:tbl>
      <w:tblPr>
        <w:tblW w:w="5000" w:type="pct"/>
        <w:jc w:val="left"/>
        <w:tblInd w:w="55" w:type="dxa"/>
        <w:tblLayout w:type="fixed"/>
        <w:tblCellMar>
          <w:top w:w="55" w:type="dxa"/>
          <w:left w:w="55" w:type="dxa"/>
          <w:bottom w:w="55" w:type="dxa"/>
          <w:right w:w="55" w:type="dxa"/>
        </w:tblCellMar>
      </w:tblPr>
      <w:tblGrid>
        <w:gridCol w:w="1368"/>
        <w:gridCol w:w="1484"/>
        <w:gridCol w:w="2852"/>
        <w:gridCol w:w="1141"/>
        <w:gridCol w:w="855"/>
        <w:gridCol w:w="913"/>
        <w:gridCol w:w="742"/>
      </w:tblGrid>
      <w:tr>
        <w:trPr>
          <w:tblHeader w:val="true"/>
          <w:cantSplit/>
        </w:trPr>
        <w:tc>
          <w:tcPr>
            <w:tcW w:w="1368"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Componenta sistemului de muncă</w:t>
            </w:r>
          </w:p>
        </w:tc>
        <w:tc>
          <w:tcPr>
            <w:tcW w:w="1484"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Factori de risc identificați</w:t>
            </w:r>
          </w:p>
        </w:tc>
        <w:tc>
          <w:tcPr>
            <w:tcW w:w="2852"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Forma concretă de manifestare a factorilor de risc (descriere, parametri)</w:t>
            </w:r>
          </w:p>
        </w:tc>
        <w:tc>
          <w:tcPr>
            <w:tcW w:w="1141"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Consecința maximă previzibilă</w:t>
            </w:r>
          </w:p>
        </w:tc>
        <w:tc>
          <w:tcPr>
            <w:tcW w:w="855"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Clasa de gravitate</w:t>
            </w:r>
          </w:p>
        </w:tc>
        <w:tc>
          <w:tcPr>
            <w:tcW w:w="913"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Clasa de probabi-litate</w:t>
            </w:r>
          </w:p>
        </w:tc>
        <w:tc>
          <w:tcPr>
            <w:tcW w:w="742" w:type="dxa"/>
            <w:tcBorders>
              <w:top w:val="single" w:sz="4" w:space="0" w:color="000000"/>
              <w:left w:val="single" w:sz="4" w:space="0" w:color="000000"/>
              <w:bottom w:val="single" w:sz="4" w:space="0" w:color="000000"/>
              <w:right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Nivel de risc</w:t>
            </w:r>
          </w:p>
        </w:tc>
      </w:tr>
      <w:tr>
        <w:trPr>
          <w:cantSplit/>
        </w:trPr>
        <w:tc>
          <w:tcPr>
            <w:tcW w:w="136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{{#sheet}}{{component}}</w:t>
            </w:r>
          </w:p>
        </w:tc>
        <w:tc>
          <w:tcPr>
            <w:tcW w:w="1484"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{{group}}</w:t>
            </w:r>
          </w:p>
        </w:tc>
        <w:tc>
          <w:tcPr>
            <w:tcW w:w="2852"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{{code}}. {{description}}</w:t>
            </w:r>
          </w:p>
        </w:tc>
        <w:tc>
          <w:tcPr>
            <w:tcW w:w="1141"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{{consequence}}</w:t>
            </w:r>
          </w:p>
        </w:tc>
        <w:tc>
          <w:tcPr>
            <w:tcW w:w="855"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{{gravityClass}}</w:t>
            </w:r>
          </w:p>
        </w:tc>
        <w:tc>
          <w:tcPr>
            <w:tcW w:w="913"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{{probabilityClass}}</w:t>
            </w:r>
          </w:p>
        </w:tc>
        <w:tc>
          <w:tcPr>
            <w:tcW w:w="742"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{{level}}{{/sheet}}</w:t>
            </w:r>
          </w:p>
        </w:tc>
      </w:tr>
    </w:tbl>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IV. FIȘA DE MĂSURI PROPUSE</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 xml:space="preserve">{{#noPlan}}</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 xml:space="preserve">Nu au fost stabilite măsuri de prevenire: niciun factor de risc identificat nu depășește nivelul de risc 3.</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 xml:space="preserve">{{/noPlan}}</w:t>
      </w:r>
    </w:p>
    <w:p>
      <w:pPr>
        <w:pStyle w:val="Normal"/>
        <w:keepNext w:val="tru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 xml:space="preserve">{{#hasPlan}}</w:t>
      </w:r>
    </w:p>
    <w:tbl>
      <w:tblPr>
        <w:tblW w:w="5000" w:type="pct"/>
        <w:jc w:val="left"/>
        <w:tblInd w:w="55" w:type="dxa"/>
        <w:tblLayout w:type="fixed"/>
        <w:tblCellMar>
          <w:top w:w="55" w:type="dxa"/>
          <w:left w:w="55" w:type="dxa"/>
          <w:bottom w:w="55" w:type="dxa"/>
          <w:right w:w="55" w:type="dxa"/>
        </w:tblCellMar>
      </w:tblPr>
      <w:tblGrid>
        <w:gridCol w:w="719"/>
        <w:gridCol w:w="3358"/>
        <w:gridCol w:w="960"/>
        <w:gridCol w:w="4318"/>
      </w:tblGrid>
      <w:tr>
        <w:trPr>
          <w:tblHeader w:val="true"/>
          <w:cantSplit/>
        </w:trPr>
        <w:tc>
          <w:tcPr>
            <w:tcW w:w="719"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3358"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Factorul de risc</w:t>
            </w:r>
          </w:p>
        </w:tc>
        <w:tc>
          <w:tcPr>
            <w:tcW w:w="960"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Nivel de risc</w:t>
            </w:r>
          </w:p>
        </w:tc>
        <w:tc>
          <w:tcPr>
            <w:tcW w:w="4318" w:type="dxa"/>
            <w:tcBorders>
              <w:top w:val="single" w:sz="4" w:space="0" w:color="000000"/>
              <w:left w:val="single" w:sz="4" w:space="0" w:color="000000"/>
              <w:bottom w:val="single" w:sz="4" w:space="0" w:color="000000"/>
              <w:right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Măsuri propuse (nominalizarea măsurii)</w:t>
            </w:r>
          </w:p>
        </w:tc>
      </w:tr>
      <w:tr>
        <w:trPr>
          <w:cantSplit/>
        </w:trPr>
        <w:tc>
          <w:tcPr>
            <w:tcW w:w="71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{{#plan}}{{$index}}.</w:t>
            </w:r>
          </w:p>
        </w:tc>
        <w:tc>
          <w:tcPr>
            <w:tcW w:w="335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{{code}}. {{description}}</w:t>
            </w:r>
          </w:p>
        </w:tc>
        <w:tc>
          <w:tcPr>
            <w:tcW w:w="96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{{level}}</w:t>
            </w:r>
          </w:p>
        </w:tc>
        <w:tc>
          <w:tcPr>
            <w:tcW w:w="4318"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{{measures}}{{/plan}}</w:t>
            </w:r>
          </w:p>
        </w:tc>
      </w:tr>
    </w:tbl>
    <w:p>
      <w:pPr>
        <w:pStyle w:val="Normal"/>
        <w:keepNext w:val="false"/>
        <w:pageBreakBefore w:val="false"/>
        <w:widowControl/>
        <w:numPr>
          <w:ilvl w:val="0"/>
          <w:numId w:val="0"/>
        </w:numPr>
        <w:spacing w:before="12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 xml:space="preserve">{{/hasPlan}}</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V. INTERPRETAREA REZULTATELOR EVALUĂRII</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V.1. Ierarhizarea riscurilor evaluate</w:t>
      </w:r>
    </w:p>
    <w:tbl>
      <w:tblPr>
        <w:tblW w:w="5000" w:type="pct"/>
        <w:jc w:val="left"/>
        <w:tblInd w:w="55" w:type="dxa"/>
        <w:tblLayout w:type="fixed"/>
        <w:tblCellMar>
          <w:top w:w="55" w:type="dxa"/>
          <w:left w:w="55" w:type="dxa"/>
          <w:bottom w:w="55" w:type="dxa"/>
          <w:right w:w="55" w:type="dxa"/>
        </w:tblCellMar>
      </w:tblPr>
      <w:tblGrid>
        <w:gridCol w:w="810"/>
        <w:gridCol w:w="974"/>
        <w:gridCol w:w="6489"/>
        <w:gridCol w:w="1082"/>
      </w:tblGrid>
      <w:tr>
        <w:trPr>
          <w:tblHeader w:val="true"/>
          <w:cantSplit/>
        </w:trPr>
        <w:tc>
          <w:tcPr>
            <w:tcW w:w="810"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974"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Cod risc</w:t>
            </w:r>
          </w:p>
        </w:tc>
        <w:tc>
          <w:tcPr>
            <w:tcW w:w="6489"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Forma concretă de manifestare a factorilor de risc</w:t>
            </w:r>
          </w:p>
        </w:tc>
        <w:tc>
          <w:tcPr>
            <w:tcW w:w="1082" w:type="dxa"/>
            <w:tcBorders>
              <w:top w:val="single" w:sz="4" w:space="0" w:color="000000"/>
              <w:left w:val="single" w:sz="4" w:space="0" w:color="000000"/>
              <w:bottom w:val="single" w:sz="4" w:space="0" w:color="000000"/>
              <w:right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Nivel de risc</w:t>
            </w:r>
          </w:p>
        </w:tc>
      </w:tr>
      <w:tr>
        <w:trPr>
          <w:cantSplit/>
        </w:trPr>
        <w:tc>
          <w:tcPr>
            <w:tcW w:w="81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{{#ranked}}{{$index}}.</w:t>
            </w:r>
          </w:p>
        </w:tc>
        <w:tc>
          <w:tcPr>
            <w:tcW w:w="974"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{{code}}</w:t>
            </w:r>
          </w:p>
        </w:tc>
        <w:tc>
          <w:tcPr>
            <w:tcW w:w="6489"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{{description}}</w:t>
            </w:r>
          </w:p>
        </w:tc>
        <w:tc>
          <w:tcPr>
            <w:tcW w:w="1082"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{{level}}{{/ranked}}</w:t>
            </w:r>
          </w:p>
        </w:tc>
      </w:tr>
    </w:tbl>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V.2. Nivelul de risc global al locului de muncă</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Nivelul de risc global (Nr) este media ponderată a nivelurilor de risc ale factorilor identificați, rangul fiecărui factor fiind egal cu nivelul său de risc, după formula prezentată în capitolul II: Nr = Σ (ri × Ri) / Σ ri.</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Nivelul de risc global calculat pentru „{{name}}” este egal cu {{globalLevel}}, {{verdict}}.</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{{findings}}</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{{#hasUnacceptable}}</w:t>
      </w:r>
    </w:p>
    <w:p>
      <w:pPr>
        <w:pStyle w:val="Normal"/>
        <w:keepNext w:val="tru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{{unacceptableLead}}</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{{#unacceptable}}</w:t>
      </w:r>
    </w:p>
    <w:p>
      <w:pPr>
        <w:pStyle w:val="Normal"/>
        <w:keepNext w:val="false"/>
        <w:pageBreakBefore w:val="false"/>
        <w:widowControl/>
        <w:numPr>
          <w:ilvl w:val="0"/>
          <w:numId w:val="0"/>
        </w:numPr>
        <w:spacing w:before="0" w:after="40"/>
        <w:ind w:hanging="0" w:left="360"/>
        <w:jc w:val="left"/>
        <w:rPr>
          <w:rFonts w:ascii="Arial" w:hAnsi="Arial" w:cs="Arial"/>
          <w:b/>
          <w:sz w:val="20"/>
          <w:szCs w:val="20"/>
        </w:rPr>
      </w:pPr>
      <w:r>
        <w:rPr>
          <w:rFonts w:eastAsia="Arial" w:cs="Arial" w:ascii="Arial" w:hAnsi="Arial"/>
          <w:b w:val="false"/>
          <w:i w:val="false"/>
          <w:color w:val="auto"/>
          <w:spacing w:val="0"/>
          <w:w w:val="100"/>
          <w:sz w:val="20"/>
          <w:szCs w:val="20"/>
          <w:lang w:val="ro-RO"/>
        </w:rPr>
        <w:t>{{code}} – {{description}}</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{{/unacceptable}}</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{{measuresSentence}}</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{{/hasUnacceptable}}</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V.3. Ponderea factorilor de risc identificați după elementele sistemului de muncă</w:t>
      </w:r>
    </w:p>
    <w:p>
      <w:pPr>
        <w:pStyle w:val="Normal"/>
        <w:keepNext w:val="tru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În ceea ce privește repartiția factorilor de risc pe sursele generatoare, situația se prezintă după cum urmează:</w:t>
      </w:r>
    </w:p>
    <w:tbl>
      <w:tblPr>
        <w:tblW w:w="5000" w:type="pct"/>
        <w:jc w:val="left"/>
        <w:tblInd w:w="55" w:type="dxa"/>
        <w:tblLayout w:type="fixed"/>
        <w:tblCellMar>
          <w:top w:w="55" w:type="dxa"/>
          <w:left w:w="55" w:type="dxa"/>
          <w:bottom w:w="55" w:type="dxa"/>
          <w:right w:w="55" w:type="dxa"/>
        </w:tblCellMar>
      </w:tblPr>
      <w:tblGrid>
        <w:gridCol w:w="4677"/>
        <w:gridCol w:w="2339"/>
        <w:gridCol w:w="2339"/>
      </w:tblGrid>
      <w:tr>
        <w:trPr>
          <w:tblHeader w:val="true"/>
        </w:trPr>
        <w:tc>
          <w:tcPr>
            <w:tcW w:w="4677"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Componenta sistemului de muncă</w:t>
            </w:r>
          </w:p>
        </w:tc>
        <w:tc>
          <w:tcPr>
            <w:tcW w:w="2339"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Număr de factori de risc</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Ponderea</w:t>
            </w:r>
          </w:p>
        </w:tc>
      </w:tr>
      <w:tr>
        <w:trPr/>
        <w:tc>
          <w:tcPr>
            <w:tcW w:w="4677" w:type="dxa"/>
            <w:tcBorders>
              <w:left w:val="single" w:sz="4" w:space="0" w:color="000000"/>
              <w:bottom w:val="single" w:sz="4" w:space="0" w:color="000000"/>
            </w:tcBorders>
            <w:vAlign w:val="center"/>
          </w:tcPr>
          <w:p>
            <w:pPr>
              <w:pStyle w:val="TableContents"/>
              <w:keepNext w:val="tru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{{#components}}{{label}}</w:t>
            </w:r>
          </w:p>
        </w:tc>
        <w:tc>
          <w:tcPr>
            <w:tcW w:w="2339"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{{count}}</w:t>
            </w:r>
          </w:p>
        </w:tc>
        <w:tc>
          <w:tcPr>
            <w:tcW w:w="233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{{share}}{{/components}}</w:t>
            </w:r>
          </w:p>
        </w:tc>
      </w:tr>
      <w:tr>
        <w:trPr/>
        <w:tc>
          <w:tcPr>
            <w:tcW w:w="4677" w:type="dxa"/>
            <w:tcBorders>
              <w:left w:val="single" w:sz="4" w:space="0" w:color="000000"/>
              <w:bottom w:val="single" w:sz="4" w:space="0" w:color="000000"/>
            </w:tcBorders>
            <w:vAlign w:val="center"/>
          </w:tcPr>
          <w:p>
            <w:pPr>
              <w:pStyle w:val="TableContents"/>
              <w:keepNext/>
              <w:widowControl/>
              <w:spacing w:before="0" w:after="0"/>
              <w:ind w:hanging="0" w:left="0"/>
              <w:jc w:val="left"/>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TOTAL</w:t>
            </w:r>
          </w:p>
        </w:tc>
        <w:tc>
          <w:tcPr>
            <w:tcW w:w="2339" w:type="dxa"/>
            <w:tcBorders>
              <w:left w:val="single" w:sz="4" w:space="0" w:color="000000"/>
              <w:bottom w:val="single" w:sz="4" w:space="0" w:color="000000"/>
            </w:tcBorders>
            <w:vAlign w:val="center"/>
          </w:tcPr>
          <w:p>
            <w:pPr>
              <w:pStyle w:val="TableContents"/>
              <w:keepNext/>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{{factorCount}}</w:t>
            </w:r>
          </w:p>
        </w:tc>
        <w:tc>
          <w:tcPr>
            <w:tcW w:w="2339" w:type="dxa"/>
            <w:tcBorders>
              <w:left w:val="single" w:sz="4" w:space="0" w:color="000000"/>
              <w:bottom w:val="single" w:sz="4" w:space="0" w:color="000000"/>
              <w:right w:val="single" w:sz="4" w:space="0" w:color="000000"/>
            </w:tcBorders>
            <w:vAlign w:val="center"/>
          </w:tcPr>
          <w:p>
            <w:pPr>
              <w:pStyle w:val="TableContents"/>
              <w:keepNext/>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r>
    </w:tbl>
    <w:p>
      <w:pPr>
        <w:pStyle w:val="Normal"/>
        <w:keepNext w:val="false"/>
        <w:widowControl/>
        <w:numPr>
          <w:ilvl w:val="0"/>
          <w:numId w:val="0"/>
        </w:numPr>
        <w:spacing w:before="12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{{irreversible}}</w:t>
      </w:r>
      <w:r>
        <w:br w:type="page"/>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{{/riskAssessment.evaluations}}</w:t>
      </w:r>
    </w:p>
    <w:p>
      <w:pPr>
        <w:pStyle w:val="Normal"/>
        <w:keepNext w:val="true"/>
        <w:widowControl/>
        <w:tabs>
          <w:tab w:val="clear" w:pos="720"/>
          <w:tab w:val="left" w:pos="3930" w:leader="none"/>
        </w:tabs>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CAPITOLUL VI. CONCLUZII GENERALE</w:t>
      </w:r>
    </w:p>
    <w:p>
      <w:pPr>
        <w:pStyle w:val="Normal"/>
        <w:widowControl/>
        <w:tabs>
          <w:tab w:val="clear" w:pos="720"/>
          <w:tab w:val="left" w:pos="3930" w:leader="none"/>
          <w:tab w:val="center" w:pos="4765" w:leader="none"/>
        </w:tabs>
        <w:spacing w:before="0" w:after="0"/>
        <w:ind w:hanging="0"/>
        <w:jc w:val="left"/>
        <w:rPr>
          <w:rFonts w:ascii="Arial" w:hAnsi="Arial" w:cs="Arial"/>
          <w:sz w:val="2"/>
          <w:szCs w:val="18"/>
          <w:vertAlign w:val="superscript"/>
        </w:rPr>
      </w:pPr>
      <w:r>
        <w:rPr>
          <w:rFonts w:eastAsia="Arial" w:cs="Arial" w:ascii="Arial" w:hAnsi="Arial"/>
          <w:color w:val="auto"/>
          <w:spacing w:val="0"/>
          <w:w w:val="100"/>
          <w:sz w:val="2"/>
          <w:szCs w:val="20"/>
          <w:lang w:val="ro-RO"/>
        </w:rPr>
      </w:r>
    </w:p>
    <w:p>
      <w:pPr>
        <w:pStyle w:val="Normal"/>
        <w:keepNext w:val="true"/>
        <w:widowControl/>
        <w:tabs>
          <w:tab w:val="clear" w:pos="720"/>
          <w:tab w:val="left" w:pos="3930" w:leader="none"/>
          <w:tab w:val="center" w:pos="4765" w:leader="none"/>
        </w:tabs>
        <w:spacing w:before="240" w:after="120"/>
        <w:ind w:hanging="0"/>
        <w:jc w:val="center"/>
        <w:rPr>
          <w:rFonts w:ascii="Arial" w:hAnsi="Arial" w:cs="Arial"/>
          <w:sz w:val="18"/>
          <w:szCs w:val="18"/>
        </w:rPr>
      </w:pPr>
      <w:r>
        <w:rPr>
          <w:rFonts w:eastAsia="Arial" w:cs="Arial" w:ascii="Arial" w:hAnsi="Arial"/>
          <w:b/>
          <w:color w:val="auto"/>
          <w:spacing w:val="0"/>
          <w:w w:val="100"/>
          <w:sz w:val="20"/>
          <w:szCs w:val="20"/>
          <w:lang w:val="ro-RO"/>
        </w:rPr>
        <w:t>SUBCAPITOLUL VI.I. CONCLUZIILE EVALUĂRII</w:t>
      </w:r>
    </w:p>
    <w:p>
      <w:pPr>
        <w:pStyle w:val="Normal"/>
        <w:widowControl/>
        <w:tabs>
          <w:tab w:val="clear" w:pos="720"/>
          <w:tab w:val="left" w:pos="3930" w:leader="none"/>
          <w:tab w:val="center" w:pos="4765"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tabs>
          <w:tab w:val="clear" w:pos="720"/>
          <w:tab w:val="left" w:pos="393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Lucrarea s-a realizat potrivit prevederilor legislației de securitate și sănătate în muncă în vigoare referitoare la obligația conducerii agenților economici de a stabili factorii de risc și a evalua nivelul riscului de accidentare în vederea asigurării măsurilor de prevenire a accidentelor și îmbolnăvirilor profesionale și alocării fondurilor necesare reducerii acestora.</w:t>
      </w:r>
    </w:p>
    <w:p>
      <w:pPr>
        <w:pStyle w:val="Normal"/>
        <w:widowControl/>
        <w:tabs>
          <w:tab w:val="clear" w:pos="720"/>
          <w:tab w:val="left" w:pos="393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Accidentele de muncă sunt evenimente aleatorii, fiind rezultatul unor disfuncții ale componentelor sistemului de muncă (mijloace de muncă, mediu de muncă, sarcina de muncă, executant), care interacționează și se influențează reciproc.</w:t>
      </w:r>
    </w:p>
    <w:p>
      <w:pPr>
        <w:pStyle w:val="Normal"/>
        <w:widowControl/>
        <w:tabs>
          <w:tab w:val="clear" w:pos="720"/>
          <w:tab w:val="left" w:pos="360" w:leader="none"/>
        </w:tabs>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Abaterile de la funcționarea optimă a sistemului conduc la vătămarea organismului uman numai când se constituie un lanț cauzal (din cel puțin două elemente, unul obiectiv și altul subiectiv), a cărui ultimă verigă este impactul între persoană și agentul material care o lezează. Din acest motiv, disfuncțiile elementelor sistemului de muncă sunt considerate cauze potențiale de accidentare, respectiv factori de risc.</w:t>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Acțiunea factorilor de risc devine pericol efectiv pentru executant prin transformarea acestora din posibilitate în realitate.</w:t>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Se menționează că nu este posibilă o delimitare riguroasă între factorii de risc de accidentare și factorii de risc de îmbolnăvire profesională, diferența fiind numai nivelul și durata de expunere a organismului, astfel încât un factor de îmbolnăvire poate deveni factor de accidentare și invers. Metoda utilizată a urmărit identificarea factorilor de risc la locurile de muncă cu pericol de accidentare / îmbolnăviri profesionale pentru activitățile analizate, în vederea stabilirii nivelului de risc atât pentru fiecare loc de muncă, cât și la nivel de unitate, prin cuantificarea și ierarhizarea riscurilor de accidentare pentru cunoașterea acestora de către toți salariații de la locul de muncă respectiv.</w:t>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Analiza s-a făcut prin examinarea tuturor activităților declarate de angajator că se desfășoară în cadrul {{client.legalName}} ținându-se seama de situația existentă la data evaluării (metode de lucru, personal existent, dotare, condiții de mediu, dotare tehnică, istoric evenimente etc.).</w:t>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Odată identificate principalele riscuri de accidentare, acestea au fost ierarhizate (în funcție de valoarea nivelului de risc) pentru a putea fi urmărite și asigurate condițiile și măsurile necesare înlăturării sau reducerii acestora.</w:t>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Lucrarea de față conține evaluarea riscurilor de accidentare și îmbolnăvire profesională pentru {{riskAssessment.evaluationCountText}} din cadrul {{client.legalName}}, în conformitate cu prevederile legale.</w:t>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S-a realizat prin aplicarea metodei I.N.C.D.P.M. de evaluare a riscurilor de accidentare și îmbolnăvire profesională pe loc de muncă avizată de Ministerul Muncii și Solidarității Sociale în anul 1993.</w:t>
      </w:r>
    </w:p>
    <w:p>
      <w:pPr>
        <w:pStyle w:val="Normal"/>
        <w:widowControl/>
        <w:tabs>
          <w:tab w:val="clear" w:pos="720"/>
          <w:tab w:val="left" w:pos="360" w:leader="none"/>
        </w:tabs>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b/>
          <w:sz w:val="2"/>
          <w:szCs w:val="20"/>
        </w:rPr>
      </w:pPr>
      <w:r>
        <w:rPr>
          <w:rFonts w:eastAsia="Arial" w:cs="Arial" w:ascii="Arial" w:hAnsi="Arial"/>
          <w:b/>
          <w:color w:val="auto"/>
          <w:spacing w:val="0"/>
          <w:w w:val="100"/>
          <w:sz w:val="2"/>
          <w:szCs w:val="20"/>
          <w:lang w:val="ro-RO"/>
        </w:rPr>
      </w:r>
    </w:p>
    <w:p>
      <w:pPr>
        <w:pStyle w:val="Normal"/>
        <w:keepNext w:val="true"/>
        <w:widowControl/>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SUBCAPITOLUL VI.II. RECOMANDĂRI</w:t>
      </w:r>
    </w:p>
    <w:p>
      <w:pPr>
        <w:pStyle w:val="Normal"/>
        <w:keepNext w:val="true"/>
        <w:widowControl/>
        <w:spacing w:before="0" w:after="0"/>
        <w:ind w:hanging="0"/>
        <w:jc w:val="left"/>
        <w:rPr>
          <w:rFonts w:ascii="Arial" w:hAnsi="Arial" w:cs="Arial"/>
          <w:sz w:val="2"/>
          <w:szCs w:val="18"/>
          <w:vertAlign w:val="superscript"/>
        </w:rPr>
      </w:pPr>
      <w:r>
        <w:rPr>
          <w:rFonts w:eastAsia="Arial" w:cs="Arial" w:ascii="Arial" w:hAnsi="Arial"/>
          <w:color w:val="auto"/>
          <w:spacing w:val="0"/>
          <w:w w:val="100"/>
          <w:sz w:val="2"/>
          <w:szCs w:val="20"/>
          <w:vertAlign w:val="superscript"/>
          <w:lang w:val="ro-RO"/>
        </w:rPr>
      </w:r>
    </w:p>
    <w:p>
      <w:pPr>
        <w:pStyle w:val="Normal"/>
        <w:keepNext w:val="false"/>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MĂSURI CU CARACTER GENERAL PROPUSE PENTRU TOATE LOCURILE DE MUNCĂ</w:t>
      </w:r>
    </w:p>
    <w:p>
      <w:pPr>
        <w:pStyle w:val="Normal"/>
        <w:keepNext w:val="fals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keepNext w:val="false"/>
        <w:widowControl/>
        <w:numPr>
          <w:ilvl w:val="0"/>
          <w:numId w:val="3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 xml:space="preserve">Însușirea și respectarea normelor de protecție a muncii și a măsurilor de aplicare a acestora;</w:t>
      </w:r>
    </w:p>
    <w:p>
      <w:pPr>
        <w:pStyle w:val="Normal"/>
        <w:keepNext w:val="false"/>
        <w:widowControl/>
        <w:numPr>
          <w:ilvl w:val="0"/>
          <w:numId w:val="3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Desfășurarea activităților în așa fel încât să nu expună la pericol de accidentare sau îmbolnăvire profesională atât propria persoană, cât și pe celelalte persoane participante la procesul de muncă;</w:t>
      </w:r>
    </w:p>
    <w:p>
      <w:pPr>
        <w:pStyle w:val="Normal"/>
        <w:keepNext w:val="false"/>
        <w:widowControl/>
        <w:numPr>
          <w:ilvl w:val="0"/>
          <w:numId w:val="3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Aducerea la cunoștință a conducătorului locului de muncă despre orice defecțiune tehnică sau altă situație care constituie un pericol de accidentare sau îmbolnăvire profesională;</w:t>
      </w:r>
    </w:p>
    <w:p>
      <w:pPr>
        <w:pStyle w:val="Normal"/>
        <w:keepNext w:val="false"/>
        <w:widowControl/>
        <w:numPr>
          <w:ilvl w:val="0"/>
          <w:numId w:val="3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Înștiințarea conducătorului locului de muncă despre accidentele de muncă suferite de propria persoană și de alte persoane participante la procesul de muncă;</w:t>
      </w:r>
    </w:p>
    <w:p>
      <w:pPr>
        <w:pStyle w:val="Normal"/>
        <w:keepNext w:val="false"/>
        <w:widowControl/>
        <w:numPr>
          <w:ilvl w:val="0"/>
          <w:numId w:val="3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Oprirea lucrului la apariția unui pericol iminent de producere a unui accident și informarea de îndată a conducătorului locului de muncă;</w:t>
      </w:r>
    </w:p>
    <w:p>
      <w:pPr>
        <w:pStyle w:val="Normal"/>
        <w:keepNext w:val="false"/>
        <w:widowControl/>
        <w:numPr>
          <w:ilvl w:val="0"/>
          <w:numId w:val="3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Utilizarea echipamentului individual de protecție din dotare, corespunzător scopului pentru care a fost acordat.</w:t>
      </w:r>
    </w:p>
    <w:p>
      <w:pPr>
        <w:pStyle w:val="Normal"/>
        <w:keepNext w:val="false"/>
        <w:widowControl/>
        <w:spacing w:before="0" w:after="0"/>
        <w:ind w:left="36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false"/>
        <w:widowControl/>
        <w:spacing w:before="0" w:after="0"/>
        <w:ind w:left="36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spacing w:before="0" w:after="40"/>
        <w:ind w:left="360"/>
        <w:jc w:val="left"/>
        <w:rPr>
          <w:rFonts w:ascii="Arial" w:hAnsi="Arial" w:cs="Arial"/>
          <w:b/>
          <w:sz w:val="18"/>
          <w:szCs w:val="18"/>
        </w:rPr>
      </w:pPr>
      <w:r>
        <w:rPr>
          <w:rFonts w:eastAsia="Arial" w:cs="Arial" w:ascii="Arial" w:hAnsi="Arial"/>
          <w:b/>
          <w:color w:val="auto"/>
          <w:spacing w:val="0"/>
          <w:w w:val="100"/>
          <w:sz w:val="20"/>
          <w:szCs w:val="20"/>
          <w:lang w:val="ro-RO"/>
        </w:rPr>
        <w:t>LA NIVELUL UNITĂȚII SE VOR AVEA ÎN VEDERE URMĂTOARELE:</w:t>
      </w:r>
    </w:p>
    <w:p>
      <w:pPr>
        <w:pStyle w:val="Normal"/>
        <w:keepNext w:val="true"/>
        <w:widowControl/>
        <w:spacing w:before="0" w:after="0"/>
        <w:ind w:left="36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false"/>
        <w:widowControl/>
        <w:numPr>
          <w:ilvl w:val="0"/>
          <w:numId w:val="3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Completarea semnalizării de securitate și/sau sănătate în muncă: marcarea prizelor, marcarea tablourilor, marcarea elementelor electrice, marcarea căilor de acces;</w:t>
      </w:r>
    </w:p>
    <w:p>
      <w:pPr>
        <w:pStyle w:val="Normal"/>
        <w:keepNext w:val="false"/>
        <w:widowControl/>
        <w:numPr>
          <w:ilvl w:val="0"/>
          <w:numId w:val="3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Efectuarea periodică a verificărilor PRAM;</w:t>
      </w:r>
    </w:p>
    <w:p>
      <w:pPr>
        <w:pStyle w:val="Normal"/>
        <w:keepNext w:val="false"/>
        <w:widowControl/>
        <w:numPr>
          <w:ilvl w:val="0"/>
          <w:numId w:val="3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Acordarea de materiale igienico-sanitare pentru toate categoriile de salariați corespunzător activității desfășurate;</w:t>
      </w:r>
    </w:p>
    <w:p>
      <w:pPr>
        <w:pStyle w:val="Normal"/>
        <w:keepNext w:val="false"/>
        <w:widowControl/>
        <w:numPr>
          <w:ilvl w:val="0"/>
          <w:numId w:val="3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 xml:space="preserve">Acordarea facilităților prevăzute de legislația în vigoare în cazul temperaturilor extreme: perioada caldă (apă minerală adecvată, câte 2 - 4 litri/ persoană/ schimb); perioada rece (ceai fierbinte, în cantitate de 0,5 - 1 litru/ persoană/ schimb);</w:t>
      </w:r>
    </w:p>
    <w:p>
      <w:pPr>
        <w:pStyle w:val="Normal"/>
        <w:keepNext w:val="false"/>
        <w:widowControl/>
        <w:numPr>
          <w:ilvl w:val="0"/>
          <w:numId w:val="3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Verificarea termenului de valabilitate al stingătoarelor, încărcarea și repararea acestora (la centre specializate) ori de câte ori este nevoie;</w:t>
      </w:r>
    </w:p>
    <w:p>
      <w:pPr>
        <w:pStyle w:val="Normal"/>
        <w:keepNext w:val="false"/>
        <w:widowControl/>
        <w:numPr>
          <w:ilvl w:val="0"/>
          <w:numId w:val="36"/>
        </w:numPr>
        <w:spacing w:before="0" w:after="40"/>
        <w:jc w:val="left"/>
        <w:rPr>
          <w:rFonts w:ascii="Arial" w:hAnsi="Arial" w:cs="Arial"/>
          <w:b/>
          <w:sz w:val="18"/>
          <w:szCs w:val="18"/>
          <w:vertAlign w:val="superscript"/>
        </w:rPr>
      </w:pPr>
      <w:r>
        <w:rPr>
          <w:rFonts w:eastAsia="Arial" w:cs="Arial" w:ascii="Arial" w:hAnsi="Arial"/>
          <w:color w:val="auto"/>
          <w:spacing w:val="0"/>
          <w:w w:val="100"/>
          <w:sz w:val="20"/>
          <w:szCs w:val="20"/>
          <w:lang w:val="ro-RO"/>
        </w:rPr>
        <w:t xml:space="preserve">Elaborarea planului de prevenire și protecție.</w:t>
      </w:r>
    </w:p>
    <w:p>
      <w:pPr>
        <w:pStyle w:val="Normal"/>
        <w:keepNext w:val="false"/>
        <w:widowControl/>
        <w:tabs>
          <w:tab w:val="clear" w:pos="720"/>
          <w:tab w:val="left" w:pos="2700" w:leader="none"/>
        </w:tabs>
        <w:spacing w:before="0" w:after="0"/>
        <w:ind w:hanging="0"/>
        <w:jc w:val="left"/>
        <w:rPr>
          <w:rFonts w:ascii="Arial" w:hAnsi="Arial" w:cs="Arial"/>
          <w:b/>
          <w:sz w:val="2"/>
          <w:szCs w:val="18"/>
          <w:vertAlign w:val="superscript"/>
        </w:rPr>
      </w:pPr>
      <w:r>
        <w:rPr>
          <w:rFonts w:eastAsia="Arial" w:cs="Arial" w:ascii="Arial" w:hAnsi="Arial"/>
          <w:b/>
          <w:color w:val="auto"/>
          <w:spacing w:val="0"/>
          <w:w w:val="100"/>
          <w:sz w:val="2"/>
          <w:szCs w:val="20"/>
          <w:vertAlign w:val="superscript"/>
          <w:lang w:val="ro-RO"/>
        </w:rPr>
      </w:r>
    </w:p>
    <w:p>
      <w:pPr>
        <w:pStyle w:val="Normal"/>
        <w:keepNext w:val="false"/>
        <w:widowControl/>
        <w:tabs>
          <w:tab w:val="clear" w:pos="720"/>
          <w:tab w:val="left" w:pos="2700" w:leader="none"/>
        </w:tabs>
        <w:spacing w:before="0" w:after="0"/>
        <w:ind w:hanging="0"/>
        <w:jc w:val="left"/>
        <w:rPr>
          <w:rFonts w:ascii="Arial" w:hAnsi="Arial" w:cs="Arial"/>
          <w:b/>
          <w:sz w:val="2"/>
          <w:szCs w:val="18"/>
          <w:vertAlign w:val="superscript"/>
        </w:rPr>
      </w:pPr>
      <w:r>
        <w:rPr>
          <w:rFonts w:eastAsia="Arial" w:cs="Arial" w:ascii="Arial" w:hAnsi="Arial"/>
          <w:b/>
          <w:color w:val="auto"/>
          <w:spacing w:val="0"/>
          <w:w w:val="100"/>
          <w:sz w:val="2"/>
          <w:szCs w:val="20"/>
          <w:vertAlign w:val="superscript"/>
          <w:lang w:val="ro-RO"/>
        </w:rPr>
      </w:r>
    </w:p>
    <w:p>
      <w:pPr>
        <w:pStyle w:val="Normal"/>
        <w:keepNext w:val="false"/>
        <w:widowControl/>
        <w:tabs>
          <w:tab w:val="clear" w:pos="720"/>
          <w:tab w:val="left" w:pos="2700"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tabs>
          <w:tab w:val="clear" w:pos="720"/>
          <w:tab w:val="left" w:pos="2700"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tabs>
          <w:tab w:val="clear" w:pos="720"/>
          <w:tab w:val="left" w:pos="2700"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pageBreakBefore w:val="false"/>
        <w:widowControl/>
        <w:numPr>
          <w:ilvl w:val="0"/>
          <w:numId w:val="0"/>
        </w:numPr>
        <w:spacing w:before="240" w:after="120"/>
        <w:ind w:hanging="0" w:left="0"/>
        <w:jc w:val="left"/>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NIVELURILE DE RISC GLOBAL ALE LOCURILOR DE MUNCĂ EVALUATE</w:t>
      </w:r>
    </w:p>
    <w:tbl>
      <w:tblPr>
        <w:tblW w:w="5000" w:type="pct"/>
        <w:jc w:val="left"/>
        <w:tblInd w:w="55" w:type="dxa"/>
        <w:tblLayout w:type="fixed"/>
        <w:tblCellMar>
          <w:top w:w="55" w:type="dxa"/>
          <w:left w:w="55" w:type="dxa"/>
          <w:bottom w:w="55" w:type="dxa"/>
          <w:right w:w="55" w:type="dxa"/>
        </w:tblCellMar>
      </w:tblPr>
      <w:tblGrid>
        <w:gridCol w:w="877"/>
        <w:gridCol w:w="6430"/>
        <w:gridCol w:w="2048"/>
      </w:tblGrid>
      <w:tr>
        <w:trPr>
          <w:tblHeader w:val="true"/>
        </w:trPr>
        <w:tc>
          <w:tcPr>
            <w:tcW w:w="87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6430"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Locul de muncă / postul de lucru</w:t>
            </w:r>
          </w:p>
        </w:tc>
        <w:tc>
          <w:tcPr>
            <w:tcW w:w="2048"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Nivelul de risc global</w:t>
            </w:r>
          </w:p>
        </w:tc>
      </w:tr>
      <w:tr>
        <w:trPr/>
        <w:tc>
          <w:tcPr>
            <w:tcW w:w="87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{{#riskAssessment.evaluations}}{{$index}}.</w:t>
            </w:r>
          </w:p>
        </w:tc>
        <w:tc>
          <w:tcPr>
            <w:tcW w:w="6430"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{{name}}</w:t>
            </w:r>
          </w:p>
        </w:tc>
        <w:tc>
          <w:tcPr>
            <w:tcW w:w="2048"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{{globalLevel}}{{/riskAssessment.evaluations}}</w:t>
            </w:r>
          </w:p>
        </w:tc>
      </w:tr>
    </w:tbl>
    <w:p>
      <w:pPr>
        <w:pStyle w:val="Normal"/>
        <w:keepNext w:val="false"/>
        <w:pageBreakBefore w:val="false"/>
        <w:widowControl/>
        <w:numPr>
          <w:ilvl w:val="0"/>
          <w:numId w:val="0"/>
        </w:numPr>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Nivelul de risc global pe unitate (Nrg) este media ponderată a nivelurilor de risc global ale locurilor de muncă evaluate, rangul fiecărui loc de muncă fiind egal cu nivelul său de risc global: Nrg = Σ (Nrgi × Nrgi) / Σ Nrgi.</w:t>
      </w:r>
    </w:p>
    <w:p>
      <w:pPr>
        <w:pStyle w:val="Normal"/>
        <w:keepNext w:val="false"/>
        <w:pageBreakBefore w:val="false"/>
        <w:widowControl/>
        <w:numPr>
          <w:ilvl w:val="0"/>
          <w:numId w:val="0"/>
        </w:numPr>
        <w:spacing w:before="0" w:after="120"/>
        <w:ind w:hanging="0" w:left="0"/>
        <w:jc w:val="left"/>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Nrg = {{riskAssessment.globalLevel}}</w:t>
      </w:r>
    </w:p>
    <w:p>
      <w:pPr>
        <w:pStyle w:val="Normal"/>
        <w:keepNext w:val="true"/>
        <w:pageBreakBefore w:val="false"/>
        <w:widowControl/>
        <w:numPr>
          <w:ilvl w:val="0"/>
          <w:numId w:val="0"/>
        </w:numPr>
        <w:spacing w:before="240" w:after="12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SUBCAPITOLUL VI.III. CONSULTAREA LUCRĂTORILOR ȘI REVIZUIREA EVALUĂRII</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Lucrătorii au fost consultați și au participat la evaluarea riscurilor, potrivit art. 18 din Legea nr. 319/2006: la fiecare loc de muncă evaluat au fost discutate cu ei activitățile desfășurate, echipamentele de muncă utilizate și condițiile de muncă, iar observațiile lor au fost luate în considerare la identificarea factorilor de risc.</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Consultarea s-a făcut direct cu lucrătorii și, acolo unde au fost desemnați, prin reprezentanții lucrătorilor cu răspunderi specifice în domeniul securității și sănătății lucrătorilor.</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{{#workersRepresentatives}}</w:t>
      </w:r>
    </w:p>
    <w:p>
      <w:pPr>
        <w:pStyle w:val="Normal"/>
        <w:keepNext w:val="false"/>
        <w:pageBreakBefore w:val="false"/>
        <w:widowControl/>
        <w:numPr>
          <w:ilvl w:val="0"/>
          <w:numId w:val="0"/>
        </w:numPr>
        <w:spacing w:before="0" w:after="40"/>
        <w:ind w:hanging="0" w:left="36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Reprezentant al lucrătorilor cu răspunderi specifice în domeniul securității și sănătății lucrătorilor: {{name}}, {{jobTitle}}.</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{{/workersRepresentatives}}</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Evaluarea riscurilor se revizuiește, împreună cu planul de prevenire și protecție care decurge din ea, ori de câte ori intervin modificări ale condițiilor de muncă, respectiv la apariția unor riscuri noi și în urma producerii unui eveniment (art. 15 alin. (3) și art. 46 alin. (1) din H.G. nr. 1425/2006).</w:t>
      </w:r>
    </w:p>
    <w:sectPr>
      <w:headerReference w:type="even" r:id="rId26"/>
      <w:headerReference w:type="default" r:id="rId27"/>
      <w:headerReference w:type="first" r:id="rId28"/>
      <w:footerReference w:type="even" r:id="rId29"/>
      <w:footerReference w:type="default" r:id="rId30"/>
      <w:footerReference w:type="first" r:id="rId31"/>
      <w:footnotePr>
        <w:numFmt w:val="decimal"/>
      </w:footnotePr>
      <w:type w:val="nextPage"/>
      <w:pgSz w:w="11906" w:h="16838"/>
      <w:pgMar w:left="1417" w:right="1134" w:gutter="0" w:header="680" w:top="2445"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Calibri">
    <w:charset w:val="01"/>
    <w:family w:val="swiss"/>
    <w:pitch w:val="variable"/>
  </w:font>
  <w:font w:name="Segoe UI">
    <w:charset w:val="01"/>
    <w:family w:val="swiss"/>
    <w:pitch w:val="variable"/>
  </w:font>
  <w:font w:name="Courier New">
    <w:charset w:val="01"/>
    <w:family w:val="roman"/>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Arial">
    <w:charset w:val="01"/>
    <w:family w:val="roman"/>
    <w:pitch w:val="variable"/>
  </w:font>
  <w:font w:name="Arial Black">
    <w:charset w:val="01"/>
    <w:family w:val="swiss"/>
    <w:pitch w:val="variable"/>
  </w:font>
  <w:font w:name="Symbol">
    <w:charset w:val="02"/>
    <w:family w:val="auto"/>
    <w:pitch w:val="default"/>
  </w:font>
  <w:font w:name="Courier New">
    <w:charset w:val="01"/>
    <w:family w:val="modern"/>
    <w:pitch w:val="fixed"/>
  </w:font>
  <w:font w:name="Wingdings">
    <w:charset w:val="02"/>
    <w:family w:val="auto"/>
    <w:pitch w:val="default"/>
  </w:font>
  <w:font w:name="Arial">
    <w:charset w:val="01"/>
    <w:family w:val="swiss"/>
    <w:pitch w:val="default"/>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rPr>
          <w:rFonts w:ascii="Arial" w:hAnsi="Arial" w:cs="Arial"/>
          <w:lang w:val="it-IT"/>
        </w:rPr>
      </w:pPr>
      <w:r>
        <w:rPr>
          <w:rStyle w:val="FootnoteCharacters"/>
        </w:rPr>
        <w:footnoteRef/>
      </w:r>
      <w:r>
        <w:rPr>
          <w:rFonts w:cs="Arial" w:ascii="Arial" w:hAnsi="Arial"/>
        </w:rPr>
        <w:t>Sursa: Dicționarul explicativ al limbii române, editat sub egida Academiei României</w:t>
      </w:r>
    </w:p>
  </w:footnote>
</w:footnote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și/sau îmbolnăvire profesională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21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și/sau îmbolnăvire profesională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21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și/sau îmbolnăvire profesională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21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2857"/>
      <w:gridCol w:w="4286"/>
      <w:gridCol w:w="4286"/>
      <w:gridCol w:w="2858"/>
    </w:tblGrid>
    <w:tr>
      <w:trPr/>
      <w:tc>
        <w:tcPr>
          <w:tcW w:w="285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2858"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11429"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și/sau îmbolnăvire profesională</w:t>
          </w:r>
        </w:p>
      </w:tc>
      <w:tc>
        <w:tcPr>
          <w:tcW w:w="2858"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21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2857"/>
      <w:gridCol w:w="4286"/>
      <w:gridCol w:w="4286"/>
      <w:gridCol w:w="2858"/>
    </w:tblGrid>
    <w:tr>
      <w:trPr/>
      <w:tc>
        <w:tcPr>
          <w:tcW w:w="285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2858"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11429"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și/sau îmbolnăvire profesională</w:t>
          </w:r>
        </w:p>
      </w:tc>
      <w:tc>
        <w:tcPr>
          <w:tcW w:w="2858"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21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2857"/>
      <w:gridCol w:w="4286"/>
      <w:gridCol w:w="4286"/>
      <w:gridCol w:w="2858"/>
    </w:tblGrid>
    <w:tr>
      <w:trPr/>
      <w:tc>
        <w:tcPr>
          <w:tcW w:w="285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2858"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11429"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și/sau îmbolnăvire profesională</w:t>
          </w:r>
        </w:p>
      </w:tc>
      <w:tc>
        <w:tcPr>
          <w:tcW w:w="2858"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21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și/sau îmbolnăvire profesională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și/sau îmbolnăvire profesională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și/sau îmbolnăvire profesională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420"/>
        </w:tabs>
        <w:ind w:left="420" w:hanging="420"/>
      </w:pPr>
      <w:rPr/>
    </w:lvl>
    <w:lvl w:ilvl="1">
      <w:start w:val="1"/>
      <w:numFmt w:val="decimal"/>
      <w:lvlText w:val="%1.%2."/>
      <w:lvlJc w:val="left"/>
      <w:pPr>
        <w:tabs>
          <w:tab w:val="num" w:pos="720"/>
        </w:tabs>
        <w:ind w:left="720" w:hanging="360"/>
      </w:pPr>
      <w:rPr/>
    </w:lvl>
    <w:lvl w:ilvl="2">
      <w:start w:val="1"/>
      <w:numFmt w:val="decimal"/>
      <w:lvlText w:val="%1.%2.%3."/>
      <w:lvlJc w:val="left"/>
      <w:pPr>
        <w:tabs>
          <w:tab w:val="num" w:pos="720"/>
        </w:tabs>
        <w:ind w:left="720" w:hanging="720"/>
      </w:pPr>
      <w:rPr/>
    </w:lvl>
    <w:lvl w:ilvl="3">
      <w:start w:val="1"/>
      <w:numFmt w:val="decimal"/>
      <w:lvlText w:val="%1.%2.%3.%4."/>
      <w:lvlJc w:val="left"/>
      <w:pPr>
        <w:tabs>
          <w:tab w:val="num" w:pos="1080"/>
        </w:tabs>
        <w:ind w:left="1080" w:hanging="1080"/>
      </w:pPr>
      <w:rPr/>
    </w:lvl>
    <w:lvl w:ilvl="4">
      <w:start w:val="1"/>
      <w:numFmt w:val="decimal"/>
      <w:lvlText w:val="%1.%2.%3.%4.%5."/>
      <w:lvlJc w:val="left"/>
      <w:pPr>
        <w:tabs>
          <w:tab w:val="num" w:pos="1080"/>
        </w:tabs>
        <w:ind w:left="1080" w:hanging="1080"/>
      </w:pPr>
      <w:rPr/>
    </w:lvl>
    <w:lvl w:ilvl="5">
      <w:start w:val="1"/>
      <w:numFmt w:val="decimal"/>
      <w:lvlText w:val="%1.%2.%3.%4.%5.%6."/>
      <w:lvlJc w:val="left"/>
      <w:pPr>
        <w:tabs>
          <w:tab w:val="num" w:pos="1440"/>
        </w:tabs>
        <w:ind w:left="1440" w:hanging="1440"/>
      </w:pPr>
      <w:rPr/>
    </w:lvl>
    <w:lvl w:ilvl="6">
      <w:start w:val="1"/>
      <w:numFmt w:val="decimal"/>
      <w:lvlText w:val="%1.%2.%3.%4.%5.%6.%7."/>
      <w:lvlJc w:val="left"/>
      <w:pPr>
        <w:tabs>
          <w:tab w:val="num" w:pos="1440"/>
        </w:tabs>
        <w:ind w:left="1440" w:hanging="1440"/>
      </w:pPr>
      <w:rPr/>
    </w:lvl>
    <w:lvl w:ilvl="7">
      <w:start w:val="1"/>
      <w:numFmt w:val="decimal"/>
      <w:lvlText w:val="%1.%2.%3.%4.%5.%6.%7.%8."/>
      <w:lvlJc w:val="left"/>
      <w:pPr>
        <w:tabs>
          <w:tab w:val="num" w:pos="1800"/>
        </w:tabs>
        <w:ind w:left="1800" w:hanging="1800"/>
      </w:pPr>
      <w:rPr/>
    </w:lvl>
    <w:lvl w:ilvl="8">
      <w:start w:val="1"/>
      <w:numFmt w:val="decimal"/>
      <w:lvlText w:val="%1.%2.%3.%4.%5.%6.%7.%8.%9."/>
      <w:lvlJc w:val="left"/>
      <w:pPr>
        <w:tabs>
          <w:tab w:val="num" w:pos="1800"/>
        </w:tabs>
        <w:ind w:left="1800" w:hanging="180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584"/>
        </w:tabs>
        <w:ind w:left="1584" w:hanging="360"/>
      </w:pPr>
      <w:rPr>
        <w:rFonts w:ascii="Courier New" w:hAnsi="Courier New" w:cs="Courier New" w:hint="default"/>
      </w:rPr>
    </w:lvl>
    <w:lvl w:ilvl="2">
      <w:start w:val="1"/>
      <w:numFmt w:val="bullet"/>
      <w:lvlText w:val=""/>
      <w:lvlJc w:val="left"/>
      <w:pPr>
        <w:tabs>
          <w:tab w:val="num" w:pos="2304"/>
        </w:tabs>
        <w:ind w:left="2304" w:hanging="360"/>
      </w:pPr>
      <w:rPr>
        <w:rFonts w:ascii="Wingdings" w:hAnsi="Wingdings" w:cs="Wingdings" w:hint="default"/>
      </w:rPr>
    </w:lvl>
    <w:lvl w:ilvl="3">
      <w:start w:val="1"/>
      <w:numFmt w:val="bullet"/>
      <w:lvlText w:val=""/>
      <w:lvlJc w:val="left"/>
      <w:pPr>
        <w:tabs>
          <w:tab w:val="num" w:pos="3024"/>
        </w:tabs>
        <w:ind w:left="3024" w:hanging="360"/>
      </w:pPr>
      <w:rPr>
        <w:rFonts w:ascii="Symbol" w:hAnsi="Symbol" w:cs="Symbol" w:hint="default"/>
      </w:rPr>
    </w:lvl>
    <w:lvl w:ilvl="4">
      <w:start w:val="1"/>
      <w:numFmt w:val="bullet"/>
      <w:lvlText w:val="o"/>
      <w:lvlJc w:val="left"/>
      <w:pPr>
        <w:tabs>
          <w:tab w:val="num" w:pos="3744"/>
        </w:tabs>
        <w:ind w:left="3744" w:hanging="360"/>
      </w:pPr>
      <w:rPr>
        <w:rFonts w:ascii="Courier New" w:hAnsi="Courier New" w:cs="Courier New" w:hint="default"/>
      </w:rPr>
    </w:lvl>
    <w:lvl w:ilvl="5">
      <w:start w:val="1"/>
      <w:numFmt w:val="bullet"/>
      <w:lvlText w:val=""/>
      <w:lvlJc w:val="left"/>
      <w:pPr>
        <w:tabs>
          <w:tab w:val="num" w:pos="4464"/>
        </w:tabs>
        <w:ind w:left="4464" w:hanging="360"/>
      </w:pPr>
      <w:rPr>
        <w:rFonts w:ascii="Wingdings" w:hAnsi="Wingdings" w:cs="Wingdings" w:hint="default"/>
      </w:rPr>
    </w:lvl>
    <w:lvl w:ilvl="6">
      <w:start w:val="1"/>
      <w:numFmt w:val="bullet"/>
      <w:lvlText w:val=""/>
      <w:lvlJc w:val="left"/>
      <w:pPr>
        <w:tabs>
          <w:tab w:val="num" w:pos="5184"/>
        </w:tabs>
        <w:ind w:left="5184" w:hanging="360"/>
      </w:pPr>
      <w:rPr>
        <w:rFonts w:ascii="Symbol" w:hAnsi="Symbol" w:cs="Symbol" w:hint="default"/>
      </w:rPr>
    </w:lvl>
    <w:lvl w:ilvl="7">
      <w:start w:val="1"/>
      <w:numFmt w:val="bullet"/>
      <w:lvlText w:val="o"/>
      <w:lvlJc w:val="left"/>
      <w:pPr>
        <w:tabs>
          <w:tab w:val="num" w:pos="5904"/>
        </w:tabs>
        <w:ind w:left="5904" w:hanging="360"/>
      </w:pPr>
      <w:rPr>
        <w:rFonts w:ascii="Courier New" w:hAnsi="Courier New" w:cs="Courier New" w:hint="default"/>
      </w:rPr>
    </w:lvl>
    <w:lvl w:ilvl="8">
      <w:start w:val="1"/>
      <w:numFmt w:val="bullet"/>
      <w:lvlText w:val=""/>
      <w:lvlJc w:val="left"/>
      <w:pPr>
        <w:tabs>
          <w:tab w:val="num" w:pos="6624"/>
        </w:tabs>
        <w:ind w:left="6624" w:hanging="360"/>
      </w:pPr>
      <w:rPr>
        <w:rFonts w:ascii="Wingdings" w:hAnsi="Wingdings" w:cs="Wingdings" w:hint="default"/>
      </w:rPr>
    </w:lvl>
  </w:abstractNum>
  <w:abstractNum w:abstractNumId="4">
    <w:lvl w:ilvl="0">
      <w:start w:val="1"/>
      <w:numFmt w:val="lowerLetter"/>
      <w:lvlText w:val="%1."/>
      <w:lvlJc w:val="left"/>
      <w:pPr>
        <w:tabs>
          <w:tab w:val="num" w:pos="720"/>
        </w:tabs>
        <w:ind w:left="720" w:hanging="360"/>
      </w:pPr>
      <w:rPr>
        <w:rFonts w:ascii="Arial" w:hAnsi="Arial" w:eastAsia="Arial" w:cs="Arial"/>
        <w:b/>
      </w:rPr>
    </w:lvl>
    <w:lvl w:ilvl="1">
      <w:start w:val="1"/>
      <w:numFmt w:val="bullet"/>
      <w:lvlText w:val=""/>
      <w:lvlJc w:val="left"/>
      <w:pPr>
        <w:tabs>
          <w:tab w:val="num" w:pos="720"/>
        </w:tabs>
        <w:ind w:left="720" w:hanging="360"/>
      </w:pPr>
      <w:rPr>
        <w:rFonts w:ascii="Symbol" w:hAnsi="Symbol" w:cs="Symbol" w:hint="default"/>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2304"/>
        </w:tabs>
        <w:ind w:left="2304" w:hanging="360"/>
      </w:pPr>
      <w:rPr>
        <w:rFonts w:ascii="Courier New" w:hAnsi="Courier New" w:cs="Courier New" w:hint="default"/>
      </w:rPr>
    </w:lvl>
    <w:lvl w:ilvl="2">
      <w:start w:val="1"/>
      <w:numFmt w:val="bullet"/>
      <w:lvlText w:val=""/>
      <w:lvlJc w:val="left"/>
      <w:pPr>
        <w:tabs>
          <w:tab w:val="num" w:pos="3024"/>
        </w:tabs>
        <w:ind w:left="3024" w:hanging="360"/>
      </w:pPr>
      <w:rPr>
        <w:rFonts w:ascii="Wingdings" w:hAnsi="Wingdings" w:cs="Wingdings" w:hint="default"/>
      </w:rPr>
    </w:lvl>
    <w:lvl w:ilvl="3">
      <w:start w:val="1"/>
      <w:numFmt w:val="bullet"/>
      <w:lvlText w:val=""/>
      <w:lvlJc w:val="left"/>
      <w:pPr>
        <w:tabs>
          <w:tab w:val="num" w:pos="3744"/>
        </w:tabs>
        <w:ind w:left="3744" w:hanging="360"/>
      </w:pPr>
      <w:rPr>
        <w:rFonts w:ascii="Symbol" w:hAnsi="Symbol" w:cs="Symbol" w:hint="default"/>
      </w:rPr>
    </w:lvl>
    <w:lvl w:ilvl="4">
      <w:start w:val="1"/>
      <w:numFmt w:val="bullet"/>
      <w:lvlText w:val="o"/>
      <w:lvlJc w:val="left"/>
      <w:pPr>
        <w:tabs>
          <w:tab w:val="num" w:pos="4464"/>
        </w:tabs>
        <w:ind w:left="4464" w:hanging="360"/>
      </w:pPr>
      <w:rPr>
        <w:rFonts w:ascii="Courier New" w:hAnsi="Courier New" w:cs="Courier New" w:hint="default"/>
      </w:rPr>
    </w:lvl>
    <w:lvl w:ilvl="5">
      <w:start w:val="1"/>
      <w:numFmt w:val="bullet"/>
      <w:lvlText w:val=""/>
      <w:lvlJc w:val="left"/>
      <w:pPr>
        <w:tabs>
          <w:tab w:val="num" w:pos="5184"/>
        </w:tabs>
        <w:ind w:left="5184" w:hanging="360"/>
      </w:pPr>
      <w:rPr>
        <w:rFonts w:ascii="Wingdings" w:hAnsi="Wingdings" w:cs="Wingdings" w:hint="default"/>
      </w:rPr>
    </w:lvl>
    <w:lvl w:ilvl="6">
      <w:start w:val="1"/>
      <w:numFmt w:val="bullet"/>
      <w:lvlText w:val=""/>
      <w:lvlJc w:val="left"/>
      <w:pPr>
        <w:tabs>
          <w:tab w:val="num" w:pos="5904"/>
        </w:tabs>
        <w:ind w:left="5904" w:hanging="360"/>
      </w:pPr>
      <w:rPr>
        <w:rFonts w:ascii="Symbol" w:hAnsi="Symbol" w:cs="Symbol" w:hint="default"/>
      </w:rPr>
    </w:lvl>
    <w:lvl w:ilvl="7">
      <w:start w:val="1"/>
      <w:numFmt w:val="bullet"/>
      <w:lvlText w:val="o"/>
      <w:lvlJc w:val="left"/>
      <w:pPr>
        <w:tabs>
          <w:tab w:val="num" w:pos="6624"/>
        </w:tabs>
        <w:ind w:left="6624" w:hanging="360"/>
      </w:pPr>
      <w:rPr>
        <w:rFonts w:ascii="Courier New" w:hAnsi="Courier New" w:cs="Courier New" w:hint="default"/>
      </w:rPr>
    </w:lvl>
    <w:lvl w:ilvl="8">
      <w:start w:val="1"/>
      <w:numFmt w:val="bullet"/>
      <w:lvlText w:val=""/>
      <w:lvlJc w:val="left"/>
      <w:pPr>
        <w:tabs>
          <w:tab w:val="num" w:pos="7344"/>
        </w:tabs>
        <w:ind w:left="7344" w:hanging="360"/>
      </w:pPr>
      <w:rPr>
        <w:rFonts w:ascii="Wingdings" w:hAnsi="Wingdings" w:cs="Wingdings" w:hint="default"/>
      </w:rPr>
    </w:lvl>
  </w:abstractNum>
  <w:abstractNum w:abstractNumId="6">
    <w:lvl w:ilvl="0">
      <w:start w:val="2"/>
      <w:numFmt w:val="bullet"/>
      <w:lvlText w:val="-"/>
      <w:lvlJc w:val="left"/>
      <w:pPr>
        <w:tabs>
          <w:tab w:val="num" w:pos="720"/>
        </w:tabs>
        <w:ind w:left="720" w:hanging="360"/>
      </w:pPr>
      <w:rPr>
        <w:rFonts w:ascii="Arial" w:hAnsi="Arial" w:cs="Aria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7">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2160"/>
        </w:tabs>
        <w:ind w:left="2160" w:hanging="360"/>
      </w:pPr>
      <w:rPr>
        <w:rFonts w:ascii="Courier New" w:hAnsi="Courier New" w:cs="Courier New" w:hint="default"/>
      </w:rPr>
    </w:lvl>
    <w:lvl w:ilvl="2">
      <w:start w:val="1"/>
      <w:numFmt w:val="bullet"/>
      <w:lvlText w:val=""/>
      <w:lvlJc w:val="left"/>
      <w:pPr>
        <w:tabs>
          <w:tab w:val="num" w:pos="2880"/>
        </w:tabs>
        <w:ind w:left="2880" w:hanging="360"/>
      </w:pPr>
      <w:rPr>
        <w:rFonts w:ascii="Wingdings" w:hAnsi="Wingdings" w:cs="Wingdings" w:hint="default"/>
      </w:rPr>
    </w:lvl>
    <w:lvl w:ilvl="3">
      <w:start w:val="1"/>
      <w:numFmt w:val="bullet"/>
      <w:lvlText w:val=""/>
      <w:lvlJc w:val="left"/>
      <w:pPr>
        <w:tabs>
          <w:tab w:val="num" w:pos="3600"/>
        </w:tabs>
        <w:ind w:left="3600" w:hanging="360"/>
      </w:pPr>
      <w:rPr>
        <w:rFonts w:ascii="Symbol" w:hAnsi="Symbol" w:cs="Symbol" w:hint="default"/>
      </w:rPr>
    </w:lvl>
    <w:lvl w:ilvl="4">
      <w:start w:val="1"/>
      <w:numFmt w:val="bullet"/>
      <w:lvlText w:val="o"/>
      <w:lvlJc w:val="left"/>
      <w:pPr>
        <w:tabs>
          <w:tab w:val="num" w:pos="4320"/>
        </w:tabs>
        <w:ind w:left="4320" w:hanging="360"/>
      </w:pPr>
      <w:rPr>
        <w:rFonts w:ascii="Courier New" w:hAnsi="Courier New" w:cs="Courier New" w:hint="default"/>
      </w:rPr>
    </w:lvl>
    <w:lvl w:ilvl="5">
      <w:start w:val="1"/>
      <w:numFmt w:val="bullet"/>
      <w:lvlText w:val=""/>
      <w:lvlJc w:val="left"/>
      <w:pPr>
        <w:tabs>
          <w:tab w:val="num" w:pos="5040"/>
        </w:tabs>
        <w:ind w:left="5040" w:hanging="360"/>
      </w:pPr>
      <w:rPr>
        <w:rFonts w:ascii="Wingdings" w:hAnsi="Wingdings" w:cs="Wingdings" w:hint="default"/>
      </w:rPr>
    </w:lvl>
    <w:lvl w:ilvl="6">
      <w:start w:val="1"/>
      <w:numFmt w:val="bullet"/>
      <w:lvlText w:val=""/>
      <w:lvlJc w:val="left"/>
      <w:pPr>
        <w:tabs>
          <w:tab w:val="num" w:pos="5760"/>
        </w:tabs>
        <w:ind w:left="5760" w:hanging="360"/>
      </w:pPr>
      <w:rPr>
        <w:rFonts w:ascii="Symbol" w:hAnsi="Symbol" w:cs="Symbol" w:hint="default"/>
      </w:rPr>
    </w:lvl>
    <w:lvl w:ilvl="7">
      <w:start w:val="1"/>
      <w:numFmt w:val="bullet"/>
      <w:lvlText w:val="o"/>
      <w:lvlJc w:val="left"/>
      <w:pPr>
        <w:tabs>
          <w:tab w:val="num" w:pos="6480"/>
        </w:tabs>
        <w:ind w:left="6480" w:hanging="360"/>
      </w:pPr>
      <w:rPr>
        <w:rFonts w:ascii="Courier New" w:hAnsi="Courier New" w:cs="Courier New" w:hint="default"/>
      </w:rPr>
    </w:lvl>
    <w:lvl w:ilvl="8">
      <w:start w:val="1"/>
      <w:numFmt w:val="bullet"/>
      <w:lvlText w:val=""/>
      <w:lvlJc w:val="left"/>
      <w:pPr>
        <w:tabs>
          <w:tab w:val="num" w:pos="7200"/>
        </w:tabs>
        <w:ind w:left="7200" w:hanging="360"/>
      </w:pPr>
      <w:rPr>
        <w:rFonts w:ascii="Wingdings" w:hAnsi="Wingdings" w:cs="Wingdings" w:hint="default"/>
      </w:rPr>
    </w:lvl>
  </w:abstractNum>
  <w:abstractNum w:abstractNumId="8">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9">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10">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11">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12">
    <w:lvl w:ilvl="0">
      <w:start w:val="2"/>
      <w:numFmt w:val="bullet"/>
      <w:lvlText w:val="-"/>
      <w:lvlJc w:val="left"/>
      <w:pPr>
        <w:tabs>
          <w:tab w:val="num" w:pos="720"/>
        </w:tabs>
        <w:ind w:left="720" w:hanging="360"/>
      </w:pPr>
      <w:rPr>
        <w:rFonts w:ascii="Arial" w:hAnsi="Arial" w:cs="Aria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3">
    <w:lvl w:ilvl="0">
      <w:start w:val="1"/>
      <w:numFmt w:val="bullet"/>
      <w:lvlText w:val=""/>
      <w:lvlJc w:val="left"/>
      <w:pPr>
        <w:tabs>
          <w:tab w:val="num" w:pos="2520"/>
        </w:tabs>
        <w:ind w:left="2520" w:hanging="360"/>
      </w:pPr>
      <w:rPr>
        <w:rFonts w:ascii="Symbol" w:hAnsi="Symbol" w:cs="Symbol" w:hint="default"/>
        <w:b w:val="false"/>
        <w:sz w:val="24"/>
        <w:szCs w:val="24"/>
      </w:rPr>
    </w:lvl>
    <w:lvl w:ilvl="1">
      <w:start w:val="1"/>
      <w:numFmt w:val="bullet"/>
      <w:lvlText w:val=""/>
      <w:lvlJc w:val="left"/>
      <w:pPr>
        <w:tabs>
          <w:tab w:val="num" w:pos="1440"/>
        </w:tabs>
        <w:ind w:left="1440" w:hanging="360"/>
      </w:pPr>
      <w:rPr>
        <w:rFonts w:ascii="Symbol" w:hAnsi="Symbol" w:cs="Symbol" w:hint="default"/>
        <w:b w:val="false"/>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4">
    <w:lvl w:ilvl="0">
      <w:start w:val="1"/>
      <w:numFmt w:val="bullet"/>
      <w:lvlText w:val=""/>
      <w:lvlJc w:val="left"/>
      <w:pPr>
        <w:tabs>
          <w:tab w:val="num" w:pos="1260"/>
        </w:tabs>
        <w:ind w:left="1260" w:hanging="360"/>
      </w:pPr>
      <w:rPr>
        <w:rFonts w:ascii="Symbol" w:hAnsi="Symbol" w:cs="Symbol" w:hint="default"/>
        <w:b w:val="false"/>
      </w:rPr>
    </w:lvl>
    <w:lvl w:ilvl="1">
      <w:start w:val="1"/>
      <w:numFmt w:val="bullet"/>
      <w:lvlText w:val="o"/>
      <w:lvlJc w:val="left"/>
      <w:pPr>
        <w:tabs>
          <w:tab w:val="num" w:pos="180"/>
        </w:tabs>
        <w:ind w:left="180" w:hanging="360"/>
      </w:pPr>
      <w:rPr>
        <w:rFonts w:ascii="Courier New" w:hAnsi="Courier New" w:cs="Courier New" w:hint="default"/>
      </w:rPr>
    </w:lvl>
    <w:lvl w:ilvl="2">
      <w:start w:val="1"/>
      <w:numFmt w:val="bullet"/>
      <w:lvlText w:val=""/>
      <w:lvlJc w:val="left"/>
      <w:pPr>
        <w:tabs>
          <w:tab w:val="num" w:pos="900"/>
        </w:tabs>
        <w:ind w:left="900" w:hanging="360"/>
      </w:pPr>
      <w:rPr>
        <w:rFonts w:ascii="Wingdings" w:hAnsi="Wingdings" w:cs="Wingdings" w:hint="default"/>
      </w:rPr>
    </w:lvl>
    <w:lvl w:ilvl="3">
      <w:start w:val="1"/>
      <w:numFmt w:val="bullet"/>
      <w:lvlText w:val=""/>
      <w:lvlJc w:val="left"/>
      <w:pPr>
        <w:tabs>
          <w:tab w:val="num" w:pos="1620"/>
        </w:tabs>
        <w:ind w:left="1620" w:hanging="360"/>
      </w:pPr>
      <w:rPr>
        <w:rFonts w:ascii="Symbol" w:hAnsi="Symbol" w:cs="Symbol" w:hint="default"/>
      </w:rPr>
    </w:lvl>
    <w:lvl w:ilvl="4">
      <w:start w:val="1"/>
      <w:numFmt w:val="bullet"/>
      <w:lvlText w:val="o"/>
      <w:lvlJc w:val="left"/>
      <w:pPr>
        <w:tabs>
          <w:tab w:val="num" w:pos="2340"/>
        </w:tabs>
        <w:ind w:left="2340" w:hanging="360"/>
      </w:pPr>
      <w:rPr>
        <w:rFonts w:ascii="Courier New" w:hAnsi="Courier New" w:cs="Courier New" w:hint="default"/>
      </w:rPr>
    </w:lvl>
    <w:lvl w:ilvl="5">
      <w:start w:val="1"/>
      <w:numFmt w:val="bullet"/>
      <w:lvlText w:val=""/>
      <w:lvlJc w:val="left"/>
      <w:pPr>
        <w:tabs>
          <w:tab w:val="num" w:pos="3060"/>
        </w:tabs>
        <w:ind w:left="3060" w:hanging="360"/>
      </w:pPr>
      <w:rPr>
        <w:rFonts w:ascii="Wingdings" w:hAnsi="Wingdings" w:cs="Wingdings" w:hint="default"/>
      </w:rPr>
    </w:lvl>
    <w:lvl w:ilvl="6">
      <w:start w:val="1"/>
      <w:numFmt w:val="bullet"/>
      <w:lvlText w:val=""/>
      <w:lvlJc w:val="left"/>
      <w:pPr>
        <w:tabs>
          <w:tab w:val="num" w:pos="3780"/>
        </w:tabs>
        <w:ind w:left="3780" w:hanging="360"/>
      </w:pPr>
      <w:rPr>
        <w:rFonts w:ascii="Symbol" w:hAnsi="Symbol" w:cs="Symbol" w:hint="default"/>
      </w:rPr>
    </w:lvl>
    <w:lvl w:ilvl="7">
      <w:start w:val="1"/>
      <w:numFmt w:val="bullet"/>
      <w:lvlText w:val="o"/>
      <w:lvlJc w:val="left"/>
      <w:pPr>
        <w:tabs>
          <w:tab w:val="num" w:pos="4500"/>
        </w:tabs>
        <w:ind w:left="4500" w:hanging="360"/>
      </w:pPr>
      <w:rPr>
        <w:rFonts w:ascii="Courier New" w:hAnsi="Courier New" w:cs="Courier New" w:hint="default"/>
      </w:rPr>
    </w:lvl>
    <w:lvl w:ilvl="8">
      <w:start w:val="1"/>
      <w:numFmt w:val="bullet"/>
      <w:lvlText w:val=""/>
      <w:lvlJc w:val="left"/>
      <w:pPr>
        <w:tabs>
          <w:tab w:val="num" w:pos="5220"/>
        </w:tabs>
        <w:ind w:left="5220" w:hanging="360"/>
      </w:pPr>
      <w:rPr>
        <w:rFonts w:ascii="Wingdings" w:hAnsi="Wingdings" w:cs="Wingdings" w:hint="default"/>
      </w:rPr>
    </w:lvl>
  </w:abstractNum>
  <w:abstractNum w:abstractNumId="15">
    <w:lvl w:ilvl="0">
      <w:start w:val="1"/>
      <w:numFmt w:val="bullet"/>
      <w:lvlText w:val=""/>
      <w:lvlJc w:val="left"/>
      <w:pPr>
        <w:tabs>
          <w:tab w:val="num" w:pos="1260"/>
        </w:tabs>
        <w:ind w:left="1260" w:hanging="360"/>
      </w:pPr>
      <w:rPr>
        <w:rFonts w:ascii="Symbol" w:hAnsi="Symbol" w:cs="Symbol" w:hint="default"/>
        <w:b w:val="false"/>
      </w:rPr>
    </w:lvl>
    <w:lvl w:ilvl="1">
      <w:start w:val="1"/>
      <w:numFmt w:val="bullet"/>
      <w:lvlText w:val="-"/>
      <w:lvlJc w:val="left"/>
      <w:pPr>
        <w:tabs>
          <w:tab w:val="num" w:pos="180"/>
        </w:tabs>
        <w:ind w:left="180" w:hanging="360"/>
      </w:pPr>
      <w:rPr>
        <w:rFonts w:ascii="Times New Roman" w:hAnsi="Times New Roman" w:cs="Times New Roman" w:hint="default"/>
      </w:rPr>
    </w:lvl>
    <w:lvl w:ilvl="2">
      <w:start w:val="1"/>
      <w:numFmt w:val="bullet"/>
      <w:lvlText w:val=""/>
      <w:lvlJc w:val="left"/>
      <w:pPr>
        <w:tabs>
          <w:tab w:val="num" w:pos="900"/>
        </w:tabs>
        <w:ind w:left="900" w:hanging="360"/>
      </w:pPr>
      <w:rPr>
        <w:rFonts w:ascii="Wingdings" w:hAnsi="Wingdings" w:cs="Wingdings" w:hint="default"/>
      </w:rPr>
    </w:lvl>
    <w:lvl w:ilvl="3">
      <w:start w:val="1"/>
      <w:numFmt w:val="bullet"/>
      <w:lvlText w:val=""/>
      <w:lvlJc w:val="left"/>
      <w:pPr>
        <w:tabs>
          <w:tab w:val="num" w:pos="1620"/>
        </w:tabs>
        <w:ind w:left="1620" w:hanging="360"/>
      </w:pPr>
      <w:rPr>
        <w:rFonts w:ascii="Symbol" w:hAnsi="Symbol" w:cs="Symbol" w:hint="default"/>
      </w:rPr>
    </w:lvl>
    <w:lvl w:ilvl="4">
      <w:start w:val="1"/>
      <w:numFmt w:val="bullet"/>
      <w:lvlText w:val="o"/>
      <w:lvlJc w:val="left"/>
      <w:pPr>
        <w:tabs>
          <w:tab w:val="num" w:pos="2340"/>
        </w:tabs>
        <w:ind w:left="2340" w:hanging="360"/>
      </w:pPr>
      <w:rPr>
        <w:rFonts w:ascii="Courier New" w:hAnsi="Courier New" w:cs="Courier New" w:hint="default"/>
      </w:rPr>
    </w:lvl>
    <w:lvl w:ilvl="5">
      <w:start w:val="1"/>
      <w:numFmt w:val="bullet"/>
      <w:lvlText w:val=""/>
      <w:lvlJc w:val="left"/>
      <w:pPr>
        <w:tabs>
          <w:tab w:val="num" w:pos="3060"/>
        </w:tabs>
        <w:ind w:left="3060" w:hanging="360"/>
      </w:pPr>
      <w:rPr>
        <w:rFonts w:ascii="Wingdings" w:hAnsi="Wingdings" w:cs="Wingdings" w:hint="default"/>
      </w:rPr>
    </w:lvl>
    <w:lvl w:ilvl="6">
      <w:start w:val="1"/>
      <w:numFmt w:val="bullet"/>
      <w:lvlText w:val=""/>
      <w:lvlJc w:val="left"/>
      <w:pPr>
        <w:tabs>
          <w:tab w:val="num" w:pos="3780"/>
        </w:tabs>
        <w:ind w:left="3780" w:hanging="360"/>
      </w:pPr>
      <w:rPr>
        <w:rFonts w:ascii="Symbol" w:hAnsi="Symbol" w:cs="Symbol" w:hint="default"/>
      </w:rPr>
    </w:lvl>
    <w:lvl w:ilvl="7">
      <w:start w:val="1"/>
      <w:numFmt w:val="bullet"/>
      <w:lvlText w:val="o"/>
      <w:lvlJc w:val="left"/>
      <w:pPr>
        <w:tabs>
          <w:tab w:val="num" w:pos="4500"/>
        </w:tabs>
        <w:ind w:left="4500" w:hanging="360"/>
      </w:pPr>
      <w:rPr>
        <w:rFonts w:ascii="Courier New" w:hAnsi="Courier New" w:cs="Courier New" w:hint="default"/>
      </w:rPr>
    </w:lvl>
    <w:lvl w:ilvl="8">
      <w:start w:val="1"/>
      <w:numFmt w:val="bullet"/>
      <w:lvlText w:val=""/>
      <w:lvlJc w:val="left"/>
      <w:pPr>
        <w:tabs>
          <w:tab w:val="num" w:pos="5220"/>
        </w:tabs>
        <w:ind w:left="5220" w:hanging="360"/>
      </w:pPr>
      <w:rPr>
        <w:rFonts w:ascii="Wingdings" w:hAnsi="Wingdings" w:cs="Wingdings" w:hint="default"/>
      </w:rPr>
    </w:lvl>
  </w:abstractNum>
  <w:abstractNum w:abstractNumId="16">
    <w:lvl w:ilvl="0">
      <w:start w:val="1"/>
      <w:numFmt w:val="decimal"/>
      <w:lvlText w:val="%1."/>
      <w:lvlJc w:val="left"/>
      <w:pPr>
        <w:tabs>
          <w:tab w:val="num" w:pos="720"/>
        </w:tabs>
        <w:ind w:left="720" w:hanging="360"/>
      </w:pPr>
      <w:rPr>
        <w:b/>
      </w:rPr>
    </w:lvl>
    <w:lvl w:ilvl="1">
      <w:start w:val="1"/>
      <w:numFmt w:val="lowerLetter"/>
      <w:lvlText w:val="%2."/>
      <w:lvlJc w:val="left"/>
      <w:pPr>
        <w:tabs>
          <w:tab w:val="num" w:pos="732"/>
        </w:tabs>
        <w:ind w:left="732" w:hanging="360"/>
      </w:pPr>
      <w:rPr/>
    </w:lvl>
    <w:lvl w:ilvl="2">
      <w:start w:val="1"/>
      <w:numFmt w:val="lowerRoman"/>
      <w:lvlText w:val="%3."/>
      <w:lvlJc w:val="right"/>
      <w:pPr>
        <w:tabs>
          <w:tab w:val="num" w:pos="1452"/>
        </w:tabs>
        <w:ind w:left="1452" w:hanging="180"/>
      </w:pPr>
      <w:rPr/>
    </w:lvl>
    <w:lvl w:ilvl="3">
      <w:start w:val="1"/>
      <w:numFmt w:val="decimal"/>
      <w:lvlText w:val="%4."/>
      <w:lvlJc w:val="left"/>
      <w:pPr>
        <w:tabs>
          <w:tab w:val="num" w:pos="2172"/>
        </w:tabs>
        <w:ind w:left="2172" w:hanging="360"/>
      </w:pPr>
      <w:rPr/>
    </w:lvl>
    <w:lvl w:ilvl="4">
      <w:start w:val="1"/>
      <w:numFmt w:val="lowerLetter"/>
      <w:lvlText w:val="%5."/>
      <w:lvlJc w:val="left"/>
      <w:pPr>
        <w:tabs>
          <w:tab w:val="num" w:pos="2892"/>
        </w:tabs>
        <w:ind w:left="2892" w:hanging="360"/>
      </w:pPr>
      <w:rPr/>
    </w:lvl>
    <w:lvl w:ilvl="5">
      <w:start w:val="1"/>
      <w:numFmt w:val="lowerRoman"/>
      <w:lvlText w:val="%6."/>
      <w:lvlJc w:val="right"/>
      <w:pPr>
        <w:tabs>
          <w:tab w:val="num" w:pos="3612"/>
        </w:tabs>
        <w:ind w:left="3612" w:hanging="180"/>
      </w:pPr>
      <w:rPr/>
    </w:lvl>
    <w:lvl w:ilvl="6">
      <w:start w:val="1"/>
      <w:numFmt w:val="decimal"/>
      <w:lvlText w:val="%7."/>
      <w:lvlJc w:val="left"/>
      <w:pPr>
        <w:tabs>
          <w:tab w:val="num" w:pos="4332"/>
        </w:tabs>
        <w:ind w:left="4332" w:hanging="360"/>
      </w:pPr>
      <w:rPr/>
    </w:lvl>
    <w:lvl w:ilvl="7">
      <w:start w:val="1"/>
      <w:numFmt w:val="lowerLetter"/>
      <w:lvlText w:val="%8."/>
      <w:lvlJc w:val="left"/>
      <w:pPr>
        <w:tabs>
          <w:tab w:val="num" w:pos="5052"/>
        </w:tabs>
        <w:ind w:left="5052" w:hanging="360"/>
      </w:pPr>
      <w:rPr/>
    </w:lvl>
    <w:lvl w:ilvl="8">
      <w:start w:val="1"/>
      <w:numFmt w:val="lowerRoman"/>
      <w:lvlText w:val="%9."/>
      <w:lvlJc w:val="right"/>
      <w:pPr>
        <w:tabs>
          <w:tab w:val="num" w:pos="5772"/>
        </w:tabs>
        <w:ind w:left="5772" w:hanging="180"/>
      </w:pPr>
      <w:rPr/>
    </w:lvl>
  </w:abstractNum>
  <w:abstractNum w:abstractNumId="17">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18">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19">
    <w:lvl w:ilvl="0">
      <w:start w:val="1"/>
      <w:numFmt w:val="bullet"/>
      <w:lvlText w:val=""/>
      <w:lvlJc w:val="left"/>
      <w:pPr>
        <w:tabs>
          <w:tab w:val="num" w:pos="1080"/>
        </w:tabs>
        <w:ind w:left="1080" w:hanging="360"/>
      </w:pPr>
      <w:rPr>
        <w:rFonts w:ascii="Wingdings" w:hAnsi="Wingdings" w:cs="Wingdings" w:hint="default"/>
        <w:b w:val="false"/>
      </w:rPr>
    </w:lvl>
    <w:lvl w:ilvl="1">
      <w:start w:val="1"/>
      <w:numFmt w:val="bullet"/>
      <w:lvlText w:val="o"/>
      <w:lvlJc w:val="left"/>
      <w:pPr>
        <w:tabs>
          <w:tab w:val="num" w:pos="0"/>
        </w:tabs>
        <w:ind w:left="0" w:hanging="360"/>
      </w:pPr>
      <w:rPr>
        <w:rFonts w:ascii="Courier New" w:hAnsi="Courier New" w:cs="Courier New" w:hint="default"/>
      </w:rPr>
    </w:lvl>
    <w:lvl w:ilvl="2">
      <w:start w:val="1"/>
      <w:numFmt w:val="bullet"/>
      <w:lvlText w:val=""/>
      <w:lvlJc w:val="left"/>
      <w:pPr>
        <w:tabs>
          <w:tab w:val="num" w:pos="720"/>
        </w:tabs>
        <w:ind w:left="720" w:hanging="360"/>
      </w:pPr>
      <w:rPr>
        <w:rFonts w:ascii="Wingdings" w:hAnsi="Wingdings" w:cs="Wingdings" w:hint="default"/>
      </w:rPr>
    </w:lvl>
    <w:lvl w:ilvl="3">
      <w:start w:val="1"/>
      <w:numFmt w:val="bullet"/>
      <w:lvlText w:val=""/>
      <w:lvlJc w:val="left"/>
      <w:pPr>
        <w:tabs>
          <w:tab w:val="num" w:pos="1440"/>
        </w:tabs>
        <w:ind w:left="1440" w:hanging="360"/>
      </w:pPr>
      <w:rPr>
        <w:rFonts w:ascii="Symbol" w:hAnsi="Symbol" w:cs="Symbol" w:hint="default"/>
      </w:rPr>
    </w:lvl>
    <w:lvl w:ilvl="4">
      <w:start w:val="1"/>
      <w:numFmt w:val="bullet"/>
      <w:lvlText w:val="o"/>
      <w:lvlJc w:val="left"/>
      <w:pPr>
        <w:tabs>
          <w:tab w:val="num" w:pos="2160"/>
        </w:tabs>
        <w:ind w:left="2160" w:hanging="360"/>
      </w:pPr>
      <w:rPr>
        <w:rFonts w:ascii="Courier New" w:hAnsi="Courier New" w:cs="Courier New" w:hint="default"/>
      </w:rPr>
    </w:lvl>
    <w:lvl w:ilvl="5">
      <w:start w:val="1"/>
      <w:numFmt w:val="bullet"/>
      <w:lvlText w:val=""/>
      <w:lvlJc w:val="left"/>
      <w:pPr>
        <w:tabs>
          <w:tab w:val="num" w:pos="2880"/>
        </w:tabs>
        <w:ind w:left="2880" w:hanging="360"/>
      </w:pPr>
      <w:rPr>
        <w:rFonts w:ascii="Wingdings" w:hAnsi="Wingdings" w:cs="Wingdings" w:hint="default"/>
      </w:rPr>
    </w:lvl>
    <w:lvl w:ilvl="6">
      <w:start w:val="1"/>
      <w:numFmt w:val="bullet"/>
      <w:lvlText w:val=""/>
      <w:lvlJc w:val="left"/>
      <w:pPr>
        <w:tabs>
          <w:tab w:val="num" w:pos="3600"/>
        </w:tabs>
        <w:ind w:left="3600" w:hanging="360"/>
      </w:pPr>
      <w:rPr>
        <w:rFonts w:ascii="Symbol" w:hAnsi="Symbol" w:cs="Symbol" w:hint="default"/>
      </w:rPr>
    </w:lvl>
    <w:lvl w:ilvl="7">
      <w:start w:val="1"/>
      <w:numFmt w:val="bullet"/>
      <w:lvlText w:val="o"/>
      <w:lvlJc w:val="left"/>
      <w:pPr>
        <w:tabs>
          <w:tab w:val="num" w:pos="4320"/>
        </w:tabs>
        <w:ind w:left="4320" w:hanging="360"/>
      </w:pPr>
      <w:rPr>
        <w:rFonts w:ascii="Courier New" w:hAnsi="Courier New" w:cs="Courier New" w:hint="default"/>
      </w:rPr>
    </w:lvl>
    <w:lvl w:ilvl="8">
      <w:start w:val="1"/>
      <w:numFmt w:val="bullet"/>
      <w:lvlText w:val=""/>
      <w:lvlJc w:val="left"/>
      <w:pPr>
        <w:tabs>
          <w:tab w:val="num" w:pos="5040"/>
        </w:tabs>
        <w:ind w:left="5040" w:hanging="360"/>
      </w:pPr>
      <w:rPr>
        <w:rFonts w:ascii="Wingdings" w:hAnsi="Wingdings" w:cs="Wingdings" w:hint="default"/>
      </w:rPr>
    </w:lvl>
  </w:abstractNum>
  <w:abstractNum w:abstractNumId="20">
    <w:lvl w:ilvl="0">
      <w:start w:val="1"/>
      <w:numFmt w:val="bullet"/>
      <w:lvlText w:val="o"/>
      <w:lvlJc w:val="left"/>
      <w:pPr>
        <w:tabs>
          <w:tab w:val="num" w:pos="1440"/>
        </w:tabs>
        <w:ind w:left="1440" w:hanging="360"/>
      </w:pPr>
      <w:rPr>
        <w:rFonts w:ascii="Courier New" w:hAnsi="Courier New" w:cs="Courier New" w:hint="default"/>
        <w:b w:val="false"/>
      </w:rPr>
    </w:lvl>
    <w:lvl w:ilvl="1">
      <w:start w:val="1"/>
      <w:numFmt w:val="bullet"/>
      <w:lvlText w:val="o"/>
      <w:lvlJc w:val="left"/>
      <w:pPr>
        <w:tabs>
          <w:tab w:val="num" w:pos="360"/>
        </w:tabs>
        <w:ind w:left="360" w:hanging="360"/>
      </w:pPr>
      <w:rPr>
        <w:rFonts w:ascii="Courier New" w:hAnsi="Courier New" w:cs="Courier New" w:hint="default"/>
      </w:rPr>
    </w:lvl>
    <w:lvl w:ilvl="2">
      <w:start w:val="1"/>
      <w:numFmt w:val="bullet"/>
      <w:lvlText w:val=""/>
      <w:lvlJc w:val="left"/>
      <w:pPr>
        <w:tabs>
          <w:tab w:val="num" w:pos="1080"/>
        </w:tabs>
        <w:ind w:left="1080" w:hanging="360"/>
      </w:pPr>
      <w:rPr>
        <w:rFonts w:ascii="Wingdings" w:hAnsi="Wingdings" w:cs="Wingdings"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o"/>
      <w:lvlJc w:val="left"/>
      <w:pPr>
        <w:tabs>
          <w:tab w:val="num" w:pos="2520"/>
        </w:tabs>
        <w:ind w:left="2520" w:hanging="360"/>
      </w:pPr>
      <w:rPr>
        <w:rFonts w:ascii="Courier New" w:hAnsi="Courier New" w:cs="Courier New" w:hint="default"/>
      </w:rPr>
    </w:lvl>
    <w:lvl w:ilvl="5">
      <w:start w:val="1"/>
      <w:numFmt w:val="bullet"/>
      <w:lvlText w:val=""/>
      <w:lvlJc w:val="left"/>
      <w:pPr>
        <w:tabs>
          <w:tab w:val="num" w:pos="3240"/>
        </w:tabs>
        <w:ind w:left="3240" w:hanging="360"/>
      </w:pPr>
      <w:rPr>
        <w:rFonts w:ascii="Wingdings" w:hAnsi="Wingdings" w:cs="Wingdings" w:hint="default"/>
      </w:rPr>
    </w:lvl>
    <w:lvl w:ilvl="6">
      <w:start w:val="1"/>
      <w:numFmt w:val="bullet"/>
      <w:lvlText w:val=""/>
      <w:lvlJc w:val="left"/>
      <w:pPr>
        <w:tabs>
          <w:tab w:val="num" w:pos="3960"/>
        </w:tabs>
        <w:ind w:left="3960" w:hanging="360"/>
      </w:pPr>
      <w:rPr>
        <w:rFonts w:ascii="Symbol" w:hAnsi="Symbol" w:cs="Symbol" w:hint="default"/>
      </w:rPr>
    </w:lvl>
    <w:lvl w:ilvl="7">
      <w:start w:val="1"/>
      <w:numFmt w:val="bullet"/>
      <w:lvlText w:val="o"/>
      <w:lvlJc w:val="left"/>
      <w:pPr>
        <w:tabs>
          <w:tab w:val="num" w:pos="4680"/>
        </w:tabs>
        <w:ind w:left="4680" w:hanging="360"/>
      </w:pPr>
      <w:rPr>
        <w:rFonts w:ascii="Courier New" w:hAnsi="Courier New" w:cs="Courier New" w:hint="default"/>
      </w:rPr>
    </w:lvl>
    <w:lvl w:ilvl="8">
      <w:start w:val="1"/>
      <w:numFmt w:val="bullet"/>
      <w:lvlText w:val=""/>
      <w:lvlJc w:val="left"/>
      <w:pPr>
        <w:tabs>
          <w:tab w:val="num" w:pos="5400"/>
        </w:tabs>
        <w:ind w:left="5400" w:hanging="360"/>
      </w:pPr>
      <w:rPr>
        <w:rFonts w:ascii="Wingdings" w:hAnsi="Wingdings" w:cs="Wingdings" w:hint="default"/>
      </w:rPr>
    </w:lvl>
  </w:abstractNum>
  <w:abstractNum w:abstractNumId="21">
    <w:lvl w:ilvl="0">
      <w:start w:val="1"/>
      <w:numFmt w:val="bullet"/>
      <w:lvlText w:val=""/>
      <w:lvlJc w:val="left"/>
      <w:pPr>
        <w:tabs>
          <w:tab w:val="num" w:pos="1080"/>
        </w:tabs>
        <w:ind w:left="1080" w:hanging="360"/>
      </w:pPr>
      <w:rPr>
        <w:rFonts w:ascii="Wingdings" w:hAnsi="Wingdings" w:cs="Wingdings" w:hint="default"/>
        <w:b w:val="false"/>
      </w:rPr>
    </w:lvl>
    <w:lvl w:ilvl="1">
      <w:start w:val="1"/>
      <w:numFmt w:val="bullet"/>
      <w:lvlText w:val="o"/>
      <w:lvlJc w:val="left"/>
      <w:pPr>
        <w:tabs>
          <w:tab w:val="num" w:pos="0"/>
        </w:tabs>
        <w:ind w:left="0" w:hanging="360"/>
      </w:pPr>
      <w:rPr>
        <w:rFonts w:ascii="Courier New" w:hAnsi="Courier New" w:cs="Courier New" w:hint="default"/>
      </w:rPr>
    </w:lvl>
    <w:lvl w:ilvl="2">
      <w:start w:val="1"/>
      <w:numFmt w:val="bullet"/>
      <w:lvlText w:val=""/>
      <w:lvlJc w:val="left"/>
      <w:pPr>
        <w:tabs>
          <w:tab w:val="num" w:pos="720"/>
        </w:tabs>
        <w:ind w:left="720" w:hanging="360"/>
      </w:pPr>
      <w:rPr>
        <w:rFonts w:ascii="Wingdings" w:hAnsi="Wingdings" w:cs="Wingdings" w:hint="default"/>
      </w:rPr>
    </w:lvl>
    <w:lvl w:ilvl="3">
      <w:start w:val="1"/>
      <w:numFmt w:val="bullet"/>
      <w:lvlText w:val=""/>
      <w:lvlJc w:val="left"/>
      <w:pPr>
        <w:tabs>
          <w:tab w:val="num" w:pos="1440"/>
        </w:tabs>
        <w:ind w:left="1440" w:hanging="360"/>
      </w:pPr>
      <w:rPr>
        <w:rFonts w:ascii="Symbol" w:hAnsi="Symbol" w:cs="Symbol" w:hint="default"/>
      </w:rPr>
    </w:lvl>
    <w:lvl w:ilvl="4">
      <w:start w:val="1"/>
      <w:numFmt w:val="bullet"/>
      <w:lvlText w:val="o"/>
      <w:lvlJc w:val="left"/>
      <w:pPr>
        <w:tabs>
          <w:tab w:val="num" w:pos="2160"/>
        </w:tabs>
        <w:ind w:left="2160" w:hanging="360"/>
      </w:pPr>
      <w:rPr>
        <w:rFonts w:ascii="Courier New" w:hAnsi="Courier New" w:cs="Courier New" w:hint="default"/>
      </w:rPr>
    </w:lvl>
    <w:lvl w:ilvl="5">
      <w:start w:val="1"/>
      <w:numFmt w:val="bullet"/>
      <w:lvlText w:val=""/>
      <w:lvlJc w:val="left"/>
      <w:pPr>
        <w:tabs>
          <w:tab w:val="num" w:pos="2880"/>
        </w:tabs>
        <w:ind w:left="2880" w:hanging="360"/>
      </w:pPr>
      <w:rPr>
        <w:rFonts w:ascii="Wingdings" w:hAnsi="Wingdings" w:cs="Wingdings" w:hint="default"/>
      </w:rPr>
    </w:lvl>
    <w:lvl w:ilvl="6">
      <w:start w:val="1"/>
      <w:numFmt w:val="bullet"/>
      <w:lvlText w:val=""/>
      <w:lvlJc w:val="left"/>
      <w:pPr>
        <w:tabs>
          <w:tab w:val="num" w:pos="3600"/>
        </w:tabs>
        <w:ind w:left="3600" w:hanging="360"/>
      </w:pPr>
      <w:rPr>
        <w:rFonts w:ascii="Symbol" w:hAnsi="Symbol" w:cs="Symbol" w:hint="default"/>
      </w:rPr>
    </w:lvl>
    <w:lvl w:ilvl="7">
      <w:start w:val="1"/>
      <w:numFmt w:val="bullet"/>
      <w:lvlText w:val="o"/>
      <w:lvlJc w:val="left"/>
      <w:pPr>
        <w:tabs>
          <w:tab w:val="num" w:pos="4320"/>
        </w:tabs>
        <w:ind w:left="4320" w:hanging="360"/>
      </w:pPr>
      <w:rPr>
        <w:rFonts w:ascii="Courier New" w:hAnsi="Courier New" w:cs="Courier New" w:hint="default"/>
      </w:rPr>
    </w:lvl>
    <w:lvl w:ilvl="8">
      <w:start w:val="1"/>
      <w:numFmt w:val="bullet"/>
      <w:lvlText w:val=""/>
      <w:lvlJc w:val="left"/>
      <w:pPr>
        <w:tabs>
          <w:tab w:val="num" w:pos="5040"/>
        </w:tabs>
        <w:ind w:left="5040" w:hanging="360"/>
      </w:pPr>
      <w:rPr>
        <w:rFonts w:ascii="Wingdings" w:hAnsi="Wingdings" w:cs="Wingdings" w:hint="default"/>
      </w:rPr>
    </w:lvl>
  </w:abstractNum>
  <w:abstractNum w:abstractNumId="22">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23">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24">
    <w:lvl w:ilvl="0">
      <w:start w:val="1"/>
      <w:numFmt w:val="bullet"/>
      <w:lvlText w:val=""/>
      <w:lvlJc w:val="left"/>
      <w:pPr>
        <w:tabs>
          <w:tab w:val="num" w:pos="1260"/>
        </w:tabs>
        <w:ind w:left="1260" w:hanging="360"/>
      </w:pPr>
      <w:rPr>
        <w:rFonts w:ascii="Symbol" w:hAnsi="Symbol" w:cs="Symbol" w:hint="default"/>
        <w:b w:val="false"/>
      </w:rPr>
    </w:lvl>
    <w:lvl w:ilvl="1">
      <w:start w:val="1"/>
      <w:numFmt w:val="bullet"/>
      <w:lvlText w:val="o"/>
      <w:lvlJc w:val="left"/>
      <w:pPr>
        <w:tabs>
          <w:tab w:val="num" w:pos="180"/>
        </w:tabs>
        <w:ind w:left="180" w:hanging="360"/>
      </w:pPr>
      <w:rPr>
        <w:rFonts w:ascii="Courier New" w:hAnsi="Courier New" w:cs="Courier New" w:hint="default"/>
      </w:rPr>
    </w:lvl>
    <w:lvl w:ilvl="2">
      <w:start w:val="1"/>
      <w:numFmt w:val="bullet"/>
      <w:lvlText w:val=""/>
      <w:lvlJc w:val="left"/>
      <w:pPr>
        <w:tabs>
          <w:tab w:val="num" w:pos="900"/>
        </w:tabs>
        <w:ind w:left="900" w:hanging="360"/>
      </w:pPr>
      <w:rPr>
        <w:rFonts w:ascii="Wingdings" w:hAnsi="Wingdings" w:cs="Wingdings" w:hint="default"/>
      </w:rPr>
    </w:lvl>
    <w:lvl w:ilvl="3">
      <w:start w:val="1"/>
      <w:numFmt w:val="bullet"/>
      <w:lvlText w:val=""/>
      <w:lvlJc w:val="left"/>
      <w:pPr>
        <w:tabs>
          <w:tab w:val="num" w:pos="1620"/>
        </w:tabs>
        <w:ind w:left="1620" w:hanging="360"/>
      </w:pPr>
      <w:rPr>
        <w:rFonts w:ascii="Symbol" w:hAnsi="Symbol" w:cs="Symbol" w:hint="default"/>
      </w:rPr>
    </w:lvl>
    <w:lvl w:ilvl="4">
      <w:start w:val="1"/>
      <w:numFmt w:val="bullet"/>
      <w:lvlText w:val="o"/>
      <w:lvlJc w:val="left"/>
      <w:pPr>
        <w:tabs>
          <w:tab w:val="num" w:pos="2340"/>
        </w:tabs>
        <w:ind w:left="2340" w:hanging="360"/>
      </w:pPr>
      <w:rPr>
        <w:rFonts w:ascii="Courier New" w:hAnsi="Courier New" w:cs="Courier New" w:hint="default"/>
      </w:rPr>
    </w:lvl>
    <w:lvl w:ilvl="5">
      <w:start w:val="1"/>
      <w:numFmt w:val="bullet"/>
      <w:lvlText w:val=""/>
      <w:lvlJc w:val="left"/>
      <w:pPr>
        <w:tabs>
          <w:tab w:val="num" w:pos="3060"/>
        </w:tabs>
        <w:ind w:left="3060" w:hanging="360"/>
      </w:pPr>
      <w:rPr>
        <w:rFonts w:ascii="Wingdings" w:hAnsi="Wingdings" w:cs="Wingdings" w:hint="default"/>
      </w:rPr>
    </w:lvl>
    <w:lvl w:ilvl="6">
      <w:start w:val="1"/>
      <w:numFmt w:val="bullet"/>
      <w:lvlText w:val=""/>
      <w:lvlJc w:val="left"/>
      <w:pPr>
        <w:tabs>
          <w:tab w:val="num" w:pos="3780"/>
        </w:tabs>
        <w:ind w:left="3780" w:hanging="360"/>
      </w:pPr>
      <w:rPr>
        <w:rFonts w:ascii="Symbol" w:hAnsi="Symbol" w:cs="Symbol" w:hint="default"/>
      </w:rPr>
    </w:lvl>
    <w:lvl w:ilvl="7">
      <w:start w:val="1"/>
      <w:numFmt w:val="bullet"/>
      <w:lvlText w:val="o"/>
      <w:lvlJc w:val="left"/>
      <w:pPr>
        <w:tabs>
          <w:tab w:val="num" w:pos="4500"/>
        </w:tabs>
        <w:ind w:left="4500" w:hanging="360"/>
      </w:pPr>
      <w:rPr>
        <w:rFonts w:ascii="Courier New" w:hAnsi="Courier New" w:cs="Courier New" w:hint="default"/>
      </w:rPr>
    </w:lvl>
    <w:lvl w:ilvl="8">
      <w:start w:val="1"/>
      <w:numFmt w:val="bullet"/>
      <w:lvlText w:val=""/>
      <w:lvlJc w:val="left"/>
      <w:pPr>
        <w:tabs>
          <w:tab w:val="num" w:pos="5220"/>
        </w:tabs>
        <w:ind w:left="5220" w:hanging="360"/>
      </w:pPr>
      <w:rPr>
        <w:rFonts w:ascii="Wingdings" w:hAnsi="Wingdings" w:cs="Wingdings" w:hint="default"/>
      </w:rPr>
    </w:lvl>
  </w:abstractNum>
  <w:abstractNum w:abstractNumId="25">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26">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27">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28">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29">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30">
    <w:lvl w:ilvl="0">
      <w:start w:val="1"/>
      <w:numFmt w:val="bullet"/>
      <w:lvlText w:val=""/>
      <w:lvlJc w:val="left"/>
      <w:pPr>
        <w:tabs>
          <w:tab w:val="num" w:pos="1428"/>
        </w:tabs>
        <w:ind w:left="1428" w:hanging="360"/>
      </w:pPr>
      <w:rPr>
        <w:rFonts w:ascii="Symbol" w:hAnsi="Symbol" w:cs="Symbol" w:hint="default"/>
        <w:b w:val="false"/>
      </w:rPr>
    </w:lvl>
    <w:lvl w:ilvl="1">
      <w:start w:val="1"/>
      <w:numFmt w:val="bullet"/>
      <w:lvlText w:val="o"/>
      <w:lvlJc w:val="left"/>
      <w:pPr>
        <w:tabs>
          <w:tab w:val="num" w:pos="348"/>
        </w:tabs>
        <w:ind w:left="348" w:hanging="360"/>
      </w:pPr>
      <w:rPr>
        <w:rFonts w:ascii="Courier New" w:hAnsi="Courier New" w:cs="Courier New" w:hint="default"/>
      </w:rPr>
    </w:lvl>
    <w:lvl w:ilvl="2">
      <w:start w:val="1"/>
      <w:numFmt w:val="bullet"/>
      <w:lvlText w:val=""/>
      <w:lvlJc w:val="left"/>
      <w:pPr>
        <w:tabs>
          <w:tab w:val="num" w:pos="1068"/>
        </w:tabs>
        <w:ind w:left="1068" w:hanging="360"/>
      </w:pPr>
      <w:rPr>
        <w:rFonts w:ascii="Wingdings" w:hAnsi="Wingdings" w:cs="Wingdings" w:hint="default"/>
      </w:rPr>
    </w:lvl>
    <w:lvl w:ilvl="3">
      <w:start w:val="1"/>
      <w:numFmt w:val="bullet"/>
      <w:lvlText w:val=""/>
      <w:lvlJc w:val="left"/>
      <w:pPr>
        <w:tabs>
          <w:tab w:val="num" w:pos="1788"/>
        </w:tabs>
        <w:ind w:left="1788" w:hanging="360"/>
      </w:pPr>
      <w:rPr>
        <w:rFonts w:ascii="Symbol" w:hAnsi="Symbol" w:cs="Symbol" w:hint="default"/>
      </w:rPr>
    </w:lvl>
    <w:lvl w:ilvl="4">
      <w:start w:val="1"/>
      <w:numFmt w:val="bullet"/>
      <w:lvlText w:val="o"/>
      <w:lvlJc w:val="left"/>
      <w:pPr>
        <w:tabs>
          <w:tab w:val="num" w:pos="2508"/>
        </w:tabs>
        <w:ind w:left="2508" w:hanging="360"/>
      </w:pPr>
      <w:rPr>
        <w:rFonts w:ascii="Courier New" w:hAnsi="Courier New" w:cs="Courier New" w:hint="default"/>
      </w:rPr>
    </w:lvl>
    <w:lvl w:ilvl="5">
      <w:start w:val="1"/>
      <w:numFmt w:val="bullet"/>
      <w:lvlText w:val=""/>
      <w:lvlJc w:val="left"/>
      <w:pPr>
        <w:tabs>
          <w:tab w:val="num" w:pos="3228"/>
        </w:tabs>
        <w:ind w:left="3228" w:hanging="360"/>
      </w:pPr>
      <w:rPr>
        <w:rFonts w:ascii="Wingdings" w:hAnsi="Wingdings" w:cs="Wingdings" w:hint="default"/>
      </w:rPr>
    </w:lvl>
    <w:lvl w:ilvl="6">
      <w:start w:val="1"/>
      <w:numFmt w:val="bullet"/>
      <w:lvlText w:val=""/>
      <w:lvlJc w:val="left"/>
      <w:pPr>
        <w:tabs>
          <w:tab w:val="num" w:pos="3948"/>
        </w:tabs>
        <w:ind w:left="3948" w:hanging="360"/>
      </w:pPr>
      <w:rPr>
        <w:rFonts w:ascii="Symbol" w:hAnsi="Symbol" w:cs="Symbol" w:hint="default"/>
      </w:rPr>
    </w:lvl>
    <w:lvl w:ilvl="7">
      <w:start w:val="1"/>
      <w:numFmt w:val="bullet"/>
      <w:lvlText w:val="o"/>
      <w:lvlJc w:val="left"/>
      <w:pPr>
        <w:tabs>
          <w:tab w:val="num" w:pos="4668"/>
        </w:tabs>
        <w:ind w:left="4668" w:hanging="360"/>
      </w:pPr>
      <w:rPr>
        <w:rFonts w:ascii="Courier New" w:hAnsi="Courier New" w:cs="Courier New" w:hint="default"/>
      </w:rPr>
    </w:lvl>
    <w:lvl w:ilvl="8">
      <w:start w:val="1"/>
      <w:numFmt w:val="bullet"/>
      <w:lvlText w:val=""/>
      <w:lvlJc w:val="left"/>
      <w:pPr>
        <w:tabs>
          <w:tab w:val="num" w:pos="5388"/>
        </w:tabs>
        <w:ind w:left="5388" w:hanging="360"/>
      </w:pPr>
      <w:rPr>
        <w:rFonts w:ascii="Wingdings" w:hAnsi="Wingdings" w:cs="Wingdings" w:hint="default"/>
      </w:rPr>
    </w:lvl>
  </w:abstractNum>
  <w:abstractNum w:abstractNumId="31">
    <w:lvl w:ilvl="0">
      <w:start w:val="1"/>
      <w:numFmt w:val="bullet"/>
      <w:lvlText w:val=""/>
      <w:lvlJc w:val="left"/>
      <w:pPr>
        <w:tabs>
          <w:tab w:val="num" w:pos="1428"/>
        </w:tabs>
        <w:ind w:left="1428" w:hanging="360"/>
      </w:pPr>
      <w:rPr>
        <w:rFonts w:ascii="Symbol" w:hAnsi="Symbol" w:cs="Symbol" w:hint="default"/>
        <w:b w:val="false"/>
      </w:rPr>
    </w:lvl>
    <w:lvl w:ilvl="1">
      <w:start w:val="1"/>
      <w:numFmt w:val="bullet"/>
      <w:lvlText w:val="o"/>
      <w:lvlJc w:val="left"/>
      <w:pPr>
        <w:tabs>
          <w:tab w:val="num" w:pos="348"/>
        </w:tabs>
        <w:ind w:left="348" w:hanging="360"/>
      </w:pPr>
      <w:rPr>
        <w:rFonts w:ascii="Courier New" w:hAnsi="Courier New" w:cs="Courier New" w:hint="default"/>
      </w:rPr>
    </w:lvl>
    <w:lvl w:ilvl="2">
      <w:start w:val="1"/>
      <w:numFmt w:val="bullet"/>
      <w:lvlText w:val=""/>
      <w:lvlJc w:val="left"/>
      <w:pPr>
        <w:tabs>
          <w:tab w:val="num" w:pos="1068"/>
        </w:tabs>
        <w:ind w:left="1068" w:hanging="360"/>
      </w:pPr>
      <w:rPr>
        <w:rFonts w:ascii="Wingdings" w:hAnsi="Wingdings" w:cs="Wingdings" w:hint="default"/>
      </w:rPr>
    </w:lvl>
    <w:lvl w:ilvl="3">
      <w:start w:val="1"/>
      <w:numFmt w:val="bullet"/>
      <w:lvlText w:val=""/>
      <w:lvlJc w:val="left"/>
      <w:pPr>
        <w:tabs>
          <w:tab w:val="num" w:pos="1788"/>
        </w:tabs>
        <w:ind w:left="1788" w:hanging="360"/>
      </w:pPr>
      <w:rPr>
        <w:rFonts w:ascii="Symbol" w:hAnsi="Symbol" w:cs="Symbol" w:hint="default"/>
      </w:rPr>
    </w:lvl>
    <w:lvl w:ilvl="4">
      <w:start w:val="1"/>
      <w:numFmt w:val="bullet"/>
      <w:lvlText w:val="o"/>
      <w:lvlJc w:val="left"/>
      <w:pPr>
        <w:tabs>
          <w:tab w:val="num" w:pos="2508"/>
        </w:tabs>
        <w:ind w:left="2508" w:hanging="360"/>
      </w:pPr>
      <w:rPr>
        <w:rFonts w:ascii="Courier New" w:hAnsi="Courier New" w:cs="Courier New" w:hint="default"/>
      </w:rPr>
    </w:lvl>
    <w:lvl w:ilvl="5">
      <w:start w:val="1"/>
      <w:numFmt w:val="bullet"/>
      <w:lvlText w:val=""/>
      <w:lvlJc w:val="left"/>
      <w:pPr>
        <w:tabs>
          <w:tab w:val="num" w:pos="3228"/>
        </w:tabs>
        <w:ind w:left="3228" w:hanging="360"/>
      </w:pPr>
      <w:rPr>
        <w:rFonts w:ascii="Wingdings" w:hAnsi="Wingdings" w:cs="Wingdings" w:hint="default"/>
      </w:rPr>
    </w:lvl>
    <w:lvl w:ilvl="6">
      <w:start w:val="1"/>
      <w:numFmt w:val="bullet"/>
      <w:lvlText w:val=""/>
      <w:lvlJc w:val="left"/>
      <w:pPr>
        <w:tabs>
          <w:tab w:val="num" w:pos="3948"/>
        </w:tabs>
        <w:ind w:left="3948" w:hanging="360"/>
      </w:pPr>
      <w:rPr>
        <w:rFonts w:ascii="Symbol" w:hAnsi="Symbol" w:cs="Symbol" w:hint="default"/>
      </w:rPr>
    </w:lvl>
    <w:lvl w:ilvl="7">
      <w:start w:val="1"/>
      <w:numFmt w:val="bullet"/>
      <w:lvlText w:val="o"/>
      <w:lvlJc w:val="left"/>
      <w:pPr>
        <w:tabs>
          <w:tab w:val="num" w:pos="4668"/>
        </w:tabs>
        <w:ind w:left="4668" w:hanging="360"/>
      </w:pPr>
      <w:rPr>
        <w:rFonts w:ascii="Courier New" w:hAnsi="Courier New" w:cs="Courier New" w:hint="default"/>
      </w:rPr>
    </w:lvl>
    <w:lvl w:ilvl="8">
      <w:start w:val="1"/>
      <w:numFmt w:val="bullet"/>
      <w:lvlText w:val=""/>
      <w:lvlJc w:val="left"/>
      <w:pPr>
        <w:tabs>
          <w:tab w:val="num" w:pos="5388"/>
        </w:tabs>
        <w:ind w:left="5388" w:hanging="360"/>
      </w:pPr>
      <w:rPr>
        <w:rFonts w:ascii="Wingdings" w:hAnsi="Wingdings" w:cs="Wingdings" w:hint="default"/>
      </w:rPr>
    </w:lvl>
  </w:abstractNum>
  <w:abstractNum w:abstractNumId="32">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33">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34">
    <w:lvl w:ilvl="0">
      <w:start w:val="1"/>
      <w:numFmt w:val="bullet"/>
      <w:lvlText w:val=""/>
      <w:lvlJc w:val="left"/>
      <w:pPr>
        <w:tabs>
          <w:tab w:val="num" w:pos="0"/>
        </w:tabs>
        <w:ind w:left="216" w:hanging="216"/>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5">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36">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3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bering>
</file>

<file path=word/settings.xml><?xml version="1.0" encoding="utf-8"?>
<w:settings xmlns:w="http://schemas.openxmlformats.org/wordprocessingml/2006/main">
  <w:zoom w:percent="100"/>
  <w:embedSystemFonts/>
  <w:stylePaneFormatFilter w:val="3F01" w:allStyles="1" w:customStyles="0" w:latentStyles="0" w:stylesInUse="0" w:headingStyles="0" w:numberingStyles="0" w:tableStyles="0" w:visibleStyles="0"/>
  <w:defaultTabStop w:val="720"/>
  <w:autoHyphenation w:val="true"/>
  <w:hyphenationZone w:val="0"/>
  <w:footnotePr>
    <w:numFmt w:val="decimal"/>
    <w:footnote w:id="0"/>
    <w:footnote w:id="1"/>
  </w:foot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uiPriority="99" w:semiHidden="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ac0410"/>
    <w:pPr>
      <w:widowControl/>
      <w:suppressAutoHyphens w:val="true"/>
      <w:bidi w:val="0"/>
      <w:spacing w:before="0" w:after="0"/>
      <w:jc w:val="left"/>
    </w:pPr>
    <w:rPr>
      <w:rFonts w:ascii="Times New Roman" w:hAnsi="Times New Roman" w:eastAsia="Times New Roman" w:cs="Times New Roman"/>
      <w:color w:val="auto"/>
      <w:kern w:val="0"/>
      <w:sz w:val="24"/>
      <w:szCs w:val="24"/>
      <w:lang w:val="ro-RO" w:eastAsia="ro-RO" w:bidi="ar-SA"/>
    </w:rPr>
  </w:style>
  <w:style w:type="paragraph" w:styleId="Heading1">
    <w:name w:val="heading 1"/>
    <w:basedOn w:val="Normal"/>
    <w:next w:val="Normal"/>
    <w:link w:val="Heading1Char"/>
    <w:qFormat/>
    <w:pPr>
      <w:keepNext w:val="true"/>
      <w:jc w:val="center"/>
      <w:outlineLvl w:val="0"/>
    </w:pPr>
    <w:rPr>
      <w:b/>
      <w:sz w:val="32"/>
      <w:szCs w:val="20"/>
      <w:lang w:val="en-US"/>
    </w:rPr>
  </w:style>
  <w:style w:type="paragraph" w:styleId="Heading2">
    <w:name w:val="heading 2"/>
    <w:basedOn w:val="Normal"/>
    <w:next w:val="Normal"/>
    <w:link w:val="Heading2Char"/>
    <w:qFormat/>
    <w:pPr>
      <w:keepNext w:val="true"/>
      <w:spacing w:before="240" w:after="60"/>
      <w:outlineLvl w:val="1"/>
    </w:pPr>
    <w:rPr>
      <w:rFonts w:ascii="Arial" w:hAnsi="Arial" w:cs="Arial"/>
      <w:b/>
      <w:bCs/>
      <w:i/>
      <w:iCs/>
      <w:sz w:val="28"/>
      <w:szCs w:val="28"/>
    </w:rPr>
  </w:style>
  <w:style w:type="paragraph" w:styleId="Heading3">
    <w:name w:val="heading 3"/>
    <w:basedOn w:val="Normal"/>
    <w:next w:val="Normal"/>
    <w:link w:val="Heading3Char"/>
    <w:qFormat/>
    <w:pPr>
      <w:keepNext w:val="true"/>
      <w:spacing w:before="240" w:after="60"/>
      <w:outlineLvl w:val="2"/>
    </w:pPr>
    <w:rPr>
      <w:rFonts w:ascii="Arial" w:hAnsi="Arial" w:cs="Arial"/>
      <w:b/>
      <w:bCs/>
      <w:sz w:val="26"/>
      <w:szCs w:val="26"/>
    </w:rPr>
  </w:style>
  <w:style w:type="paragraph" w:styleId="Heading4">
    <w:name w:val="heading 4"/>
    <w:basedOn w:val="Normal"/>
    <w:next w:val="Normal"/>
    <w:link w:val="Heading4Char"/>
    <w:qFormat/>
    <w:pPr>
      <w:keepNext w:val="true"/>
      <w:spacing w:before="240" w:after="60"/>
      <w:outlineLvl w:val="3"/>
    </w:pPr>
    <w:rPr>
      <w:b/>
      <w:bCs/>
      <w:sz w:val="28"/>
      <w:szCs w:val="28"/>
      <w:lang w:val="en-GB" w:eastAsia="en-US"/>
    </w:rPr>
  </w:style>
  <w:style w:type="paragraph" w:styleId="Heading5">
    <w:name w:val="heading 5"/>
    <w:basedOn w:val="Normal"/>
    <w:next w:val="Normal"/>
    <w:link w:val="Heading5Char"/>
    <w:qFormat/>
    <w:pPr>
      <w:keepNext w:val="true"/>
      <w:jc w:val="center"/>
      <w:outlineLvl w:val="4"/>
    </w:pPr>
    <w:rPr>
      <w:b/>
      <w:sz w:val="36"/>
      <w:szCs w:val="36"/>
      <w:lang w:val="es-ES_tradnl"/>
    </w:rPr>
  </w:style>
  <w:style w:type="paragraph" w:styleId="Heading6">
    <w:name w:val="heading 6"/>
    <w:basedOn w:val="Normal"/>
    <w:next w:val="Normal"/>
    <w:link w:val="Heading6Char"/>
    <w:qFormat/>
    <w:rsid w:val="00575dcf"/>
    <w:pPr>
      <w:spacing w:before="240" w:after="60"/>
      <w:outlineLvl w:val="5"/>
    </w:pPr>
    <w:rPr>
      <w:rFonts w:ascii="Calibri" w:hAnsi="Calibri"/>
      <w:b/>
      <w:bCs/>
      <w:sz w:val="22"/>
      <w:szCs w:val="22"/>
      <w:lang w:val="x-none" w:eastAsia="x-none" w:bidi="en-US"/>
    </w:rPr>
  </w:style>
  <w:style w:type="paragraph" w:styleId="Heading9">
    <w:name w:val="heading 9"/>
    <w:basedOn w:val="Normal"/>
    <w:next w:val="Normal"/>
    <w:link w:val="Heading9Char"/>
    <w:qFormat/>
    <w:pPr>
      <w:spacing w:before="240" w:after="60"/>
      <w:outlineLvl w:val="8"/>
    </w:pPr>
    <w:rPr>
      <w:rFonts w:ascii="Arial" w:hAnsi="Arial" w:cs="Arial"/>
      <w:sz w:val="22"/>
      <w:szCs w:val="22"/>
    </w:rPr>
  </w:style>
  <w:style w:type="character" w:styleId="DefaultParagraphFont" w:default="1">
    <w:name w:val="Default Paragraph Font"/>
    <w:uiPriority w:val="1"/>
    <w:semiHidden/>
    <w:unhideWhenUsed/>
    <w:rPr/>
  </w:style>
  <w:style w:type="character" w:styleId="FootnoteCharacters">
    <w:name w:val="Footnote Characters"/>
    <w:semiHidden/>
    <w:rPr>
      <w:vertAlign w:val="superscript"/>
    </w:rPr>
  </w:style>
  <w:style w:type="character" w:styleId="FootnoteCharactersuser">
    <w:name w:val="Footnote Characters (user)"/>
    <w:rPr>
      <w:vertAlign w:val="superscript"/>
    </w:rPr>
  </w:style>
  <w:style w:type="character" w:styleId="FootnoteReference">
    <w:name w:val="footnote reference"/>
    <w:rPr>
      <w:vertAlign w:val="superscript"/>
    </w:rPr>
  </w:style>
  <w:style w:type="character" w:styleId="PageNumber">
    <w:name w:val="page number"/>
    <w:basedOn w:val="DefaultParagraphFont"/>
    <w:rPr/>
  </w:style>
  <w:style w:type="character" w:styleId="postbody" w:customStyle="1">
    <w:name w:val="postbody"/>
    <w:basedOn w:val="DefaultParagraphFont"/>
    <w:rPr/>
  </w:style>
  <w:style w:type="character" w:styleId="Hyperlink">
    <w:name w:val="Hyperlink"/>
    <w:rsid w:val="00760842"/>
    <w:rPr>
      <w:u w:val="single"/>
    </w:rPr>
  </w:style>
  <w:style w:type="character" w:styleId="Strong">
    <w:name w:val="Strong"/>
    <w:qFormat/>
    <w:rsid w:val="00df2a52"/>
    <w:rPr>
      <w:b/>
      <w:bCs/>
    </w:rPr>
  </w:style>
  <w:style w:type="character" w:styleId="tpa1" w:customStyle="1">
    <w:name w:val="tpa1"/>
    <w:basedOn w:val="DefaultParagraphFont"/>
    <w:rsid w:val="000f5df7"/>
    <w:rPr/>
  </w:style>
  <w:style w:type="character" w:styleId="ar1" w:customStyle="1">
    <w:name w:val="ar1"/>
    <w:rsid w:val="003e11a4"/>
    <w:rPr>
      <w:b/>
      <w:bCs/>
      <w:sz w:val="22"/>
      <w:szCs w:val="22"/>
    </w:rPr>
  </w:style>
  <w:style w:type="character" w:styleId="pt1" w:customStyle="1">
    <w:name w:val="pt1"/>
    <w:rsid w:val="003e11a4"/>
    <w:rPr>
      <w:b/>
      <w:bCs/>
    </w:rPr>
  </w:style>
  <w:style w:type="character" w:styleId="tpt1" w:customStyle="1">
    <w:name w:val="tpt1"/>
    <w:basedOn w:val="DefaultParagraphFont"/>
    <w:rsid w:val="003e11a4"/>
    <w:rPr/>
  </w:style>
  <w:style w:type="character" w:styleId="al1" w:customStyle="1">
    <w:name w:val="al1"/>
    <w:rsid w:val="003e11a4"/>
    <w:rPr>
      <w:b/>
      <w:bCs/>
    </w:rPr>
  </w:style>
  <w:style w:type="character" w:styleId="tal1" w:customStyle="1">
    <w:name w:val="tal1"/>
    <w:basedOn w:val="DefaultParagraphFont"/>
    <w:rsid w:val="003e11a4"/>
    <w:rPr/>
  </w:style>
  <w:style w:type="character" w:styleId="do1" w:customStyle="1">
    <w:name w:val="do1"/>
    <w:rsid w:val="003e11a4"/>
    <w:rPr>
      <w:b/>
      <w:bCs/>
      <w:sz w:val="26"/>
      <w:szCs w:val="26"/>
    </w:rPr>
  </w:style>
  <w:style w:type="character" w:styleId="FooterChar" w:customStyle="1">
    <w:name w:val="Footer Char"/>
    <w:link w:val="Footer"/>
    <w:rsid w:val="00515ee0"/>
    <w:rPr>
      <w:sz w:val="24"/>
      <w:szCs w:val="24"/>
      <w:lang w:val="ro-RO" w:eastAsia="ro-RO"/>
    </w:rPr>
  </w:style>
  <w:style w:type="character" w:styleId="Heading1Char" w:customStyle="1">
    <w:name w:val="Heading 1 Char"/>
    <w:link w:val="Heading1"/>
    <w:rsid w:val="002d6828"/>
    <w:rPr>
      <w:b/>
      <w:sz w:val="32"/>
      <w:lang w:eastAsia="ro-RO"/>
    </w:rPr>
  </w:style>
  <w:style w:type="character" w:styleId="TitleChar" w:customStyle="1">
    <w:name w:val="Title Char"/>
    <w:link w:val="Title"/>
    <w:rsid w:val="002d6828"/>
    <w:rPr>
      <w:b/>
      <w:sz w:val="28"/>
      <w:lang w:val="ro-RO" w:eastAsia="ro-RO"/>
    </w:rPr>
  </w:style>
  <w:style w:type="character" w:styleId="BalloonTextChar" w:customStyle="1">
    <w:name w:val="Balloon Text Char"/>
    <w:link w:val="BalloonText"/>
    <w:rsid w:val="00ea3ac1"/>
    <w:rPr>
      <w:rFonts w:ascii="Segoe UI" w:hAnsi="Segoe UI" w:cs="Segoe UI"/>
      <w:sz w:val="18"/>
      <w:szCs w:val="18"/>
      <w:lang w:val="ro-RO" w:eastAsia="ro-RO"/>
    </w:rPr>
  </w:style>
  <w:style w:type="character" w:styleId="a" w:customStyle="1">
    <w:name w:val="a"/>
    <w:basedOn w:val="DefaultParagraphFont"/>
    <w:rsid w:val="007d0ab7"/>
    <w:rPr/>
  </w:style>
  <w:style w:type="character" w:styleId="Heading6Char" w:customStyle="1">
    <w:name w:val="Heading 6 Char"/>
    <w:basedOn w:val="DefaultParagraphFont"/>
    <w:link w:val="Heading6"/>
    <w:rsid w:val="00575dcf"/>
    <w:rPr>
      <w:rFonts w:ascii="Calibri" w:hAnsi="Calibri"/>
      <w:b/>
      <w:bCs/>
      <w:sz w:val="22"/>
      <w:szCs w:val="22"/>
      <w:lang w:val="x-none" w:eastAsia="x-none" w:bidi="en-US"/>
    </w:rPr>
  </w:style>
  <w:style w:type="character" w:styleId="Heading9Char" w:customStyle="1">
    <w:name w:val="Heading 9 Char"/>
    <w:link w:val="Heading9"/>
    <w:rsid w:val="00575dcf"/>
    <w:rPr>
      <w:rFonts w:ascii="Arial" w:hAnsi="Arial" w:cs="Arial"/>
      <w:sz w:val="22"/>
      <w:szCs w:val="22"/>
      <w:lang w:val="ro-RO" w:eastAsia="ro-RO"/>
    </w:rPr>
  </w:style>
  <w:style w:type="character" w:styleId="BodyTextChar" w:customStyle="1">
    <w:name w:val="Body Text Char"/>
    <w:rsid w:val="00575dcf"/>
    <w:rPr>
      <w:rFonts w:ascii="Arial" w:hAnsi="Arial"/>
      <w:sz w:val="24"/>
      <w:lang w:val="en-GB"/>
    </w:rPr>
  </w:style>
  <w:style w:type="character" w:styleId="HeaderChar" w:customStyle="1">
    <w:name w:val="Header Char"/>
    <w:link w:val="Header"/>
    <w:rsid w:val="00575dcf"/>
    <w:rPr>
      <w:sz w:val="24"/>
      <w:szCs w:val="24"/>
      <w:lang w:val="ro-RO" w:eastAsia="ro-RO"/>
    </w:rPr>
  </w:style>
  <w:style w:type="character" w:styleId="FollowedHyperlink">
    <w:name w:val="FollowedHyperlink"/>
    <w:rsid w:val="00575dcf"/>
    <w:rPr>
      <w:u w:val="single"/>
    </w:rPr>
  </w:style>
  <w:style w:type="character" w:styleId="st" w:customStyle="1">
    <w:name w:val="st"/>
    <w:basedOn w:val="DefaultParagraphFont"/>
    <w:rsid w:val="00575dcf"/>
    <w:rPr/>
  </w:style>
  <w:style w:type="character" w:styleId="Heading2Char" w:customStyle="1">
    <w:name w:val="Heading 2 Char"/>
    <w:link w:val="Heading2"/>
    <w:rsid w:val="00575dcf"/>
    <w:rPr>
      <w:rFonts w:ascii="Arial" w:hAnsi="Arial" w:cs="Arial"/>
      <w:b/>
      <w:bCs/>
      <w:i/>
      <w:iCs/>
      <w:sz w:val="28"/>
      <w:szCs w:val="28"/>
      <w:lang w:val="ro-RO" w:eastAsia="ro-RO"/>
    </w:rPr>
  </w:style>
  <w:style w:type="character" w:styleId="Heading3Char" w:customStyle="1">
    <w:name w:val="Heading 3 Char"/>
    <w:link w:val="Heading3"/>
    <w:rsid w:val="00575dcf"/>
    <w:rPr>
      <w:rFonts w:ascii="Arial" w:hAnsi="Arial" w:cs="Arial"/>
      <w:b/>
      <w:bCs/>
      <w:sz w:val="26"/>
      <w:szCs w:val="26"/>
      <w:lang w:val="ro-RO" w:eastAsia="ro-RO"/>
    </w:rPr>
  </w:style>
  <w:style w:type="character" w:styleId="Heading4Char" w:customStyle="1">
    <w:name w:val="Heading 4 Char"/>
    <w:link w:val="Heading4"/>
    <w:rsid w:val="00575dcf"/>
    <w:rPr>
      <w:b/>
      <w:bCs/>
      <w:sz w:val="28"/>
      <w:szCs w:val="28"/>
      <w:lang w:val="en-GB"/>
    </w:rPr>
  </w:style>
  <w:style w:type="character" w:styleId="Heading5Char" w:customStyle="1">
    <w:name w:val="Heading 5 Char"/>
    <w:link w:val="Heading5"/>
    <w:rsid w:val="00575dcf"/>
    <w:rPr>
      <w:b/>
      <w:sz w:val="36"/>
      <w:szCs w:val="36"/>
      <w:lang w:val="es-ES_tradnl" w:eastAsia="ro-RO"/>
    </w:rPr>
  </w:style>
  <w:style w:type="character" w:styleId="BodyTextIndentChar" w:customStyle="1">
    <w:name w:val="Body Text Indent Char"/>
    <w:rsid w:val="00575dcf"/>
    <w:rPr>
      <w:rFonts w:ascii="Arial" w:hAnsi="Arial"/>
      <w:sz w:val="24"/>
      <w:lang w:val="en-GB"/>
    </w:rPr>
  </w:style>
  <w:style w:type="character" w:styleId="BodyTextIndent2Char" w:customStyle="1">
    <w:name w:val="Body Text Indent 2 Char"/>
    <w:link w:val="BodyTextIndent2"/>
    <w:rsid w:val="00575dcf"/>
    <w:rPr>
      <w:rFonts w:ascii="Arial" w:hAnsi="Arial"/>
      <w:sz w:val="24"/>
      <w:lang w:val="en-GB"/>
    </w:rPr>
  </w:style>
  <w:style w:type="character" w:styleId="FootnoteTextChar" w:customStyle="1">
    <w:name w:val="Footnote Text Char"/>
    <w:link w:val="FootnoteText"/>
    <w:semiHidden/>
    <w:rsid w:val="00575dcf"/>
    <w:rPr>
      <w:lang w:val="ro-RO" w:eastAsia="ro-RO"/>
    </w:rPr>
  </w:style>
  <w:style w:type="character" w:styleId="HTMLPreformattedChar" w:customStyle="1">
    <w:name w:val="HTML Preformatted Char"/>
    <w:link w:val="HTMLPreformatted"/>
    <w:rsid w:val="00575dcf"/>
    <w:rPr>
      <w:rFonts w:ascii="Courier New" w:hAnsi="Courier New" w:cs="Courier New"/>
      <w:sz w:val="24"/>
      <w:szCs w:val="24"/>
    </w:rPr>
  </w:style>
  <w:style w:type="character" w:styleId="BodyText2Char" w:customStyle="1">
    <w:name w:val="Body Text 2 Char"/>
    <w:link w:val="BodyText2"/>
    <w:rsid w:val="00575dcf"/>
    <w:rPr>
      <w:sz w:val="24"/>
      <w:szCs w:val="24"/>
      <w:lang w:val="ro-RO" w:eastAsia="ro-RO"/>
    </w:rPr>
  </w:style>
  <w:style w:type="character" w:styleId="BodyTextIndent3Char" w:customStyle="1">
    <w:name w:val="Body Text Indent 3 Char"/>
    <w:link w:val="BodyTextIndent3"/>
    <w:rsid w:val="00575dcf"/>
    <w:rPr>
      <w:sz w:val="16"/>
      <w:szCs w:val="16"/>
      <w:lang w:val="ro-RO" w:eastAsia="ro-RO"/>
    </w:rPr>
  </w:style>
  <w:style w:type="character" w:styleId="BodyText3Char" w:customStyle="1">
    <w:name w:val="Body Text 3 Char"/>
    <w:link w:val="BodyText3"/>
    <w:rsid w:val="00575dcf"/>
    <w:rPr>
      <w:sz w:val="16"/>
      <w:szCs w:val="16"/>
      <w:lang w:val="ro-RO" w:eastAsia="ro-RO"/>
    </w:rPr>
  </w:style>
  <w:style w:type="character" w:styleId="text-albastru-recomanda-unui-prieten" w:customStyle="1">
    <w:name w:val="text-albastru-recomanda-unui-prieten"/>
    <w:basedOn w:val="DefaultParagraphFont"/>
    <w:rsid w:val="00575dcf"/>
    <w:rPr/>
  </w:style>
  <w:style w:type="character" w:styleId="apple-converted-space" w:customStyle="1">
    <w:name w:val="apple-converted-space"/>
    <w:basedOn w:val="DefaultParagraphFont"/>
    <w:rsid w:val="00575dcf"/>
    <w:rPr/>
  </w:style>
  <w:style w:type="character" w:styleId="l6" w:customStyle="1">
    <w:name w:val="l6"/>
    <w:rsid w:val="00575dcf"/>
    <w:rPr/>
  </w:style>
  <w:style w:type="character" w:styleId="CommentReference">
    <w:name w:val="annotation reference"/>
    <w:rsid w:val="00575dcf"/>
    <w:rPr>
      <w:sz w:val="16"/>
      <w:szCs w:val="16"/>
    </w:rPr>
  </w:style>
  <w:style w:type="character" w:styleId="CommentTextChar" w:customStyle="1">
    <w:name w:val="Comment Text Char"/>
    <w:basedOn w:val="DefaultParagraphFont"/>
    <w:link w:val="CommentText"/>
    <w:rsid w:val="00575dcf"/>
    <w:rPr>
      <w:lang w:val="ro-RO" w:eastAsia="ro-RO"/>
    </w:rPr>
  </w:style>
  <w:style w:type="character" w:styleId="CommentSubjectChar" w:customStyle="1">
    <w:name w:val="Comment Subject Char"/>
    <w:basedOn w:val="CommentTextChar"/>
    <w:link w:val="annotationsubject"/>
    <w:rsid w:val="00575dcf"/>
    <w:rPr>
      <w:b/>
      <w:bCs/>
      <w:lang w:val="ro-RO" w:eastAsia="ro-RO"/>
    </w:rPr>
  </w:style>
  <w:style w:type="character" w:styleId="fleft" w:customStyle="1">
    <w:name w:val="f_left"/>
    <w:basedOn w:val="DefaultParagraphFont"/>
    <w:rsid w:val="00575dcf"/>
    <w:rPr/>
  </w:style>
  <w:style w:type="character" w:styleId="markedcontent" w:customStyle="1">
    <w:name w:val="markedcontent"/>
    <w:basedOn w:val="DefaultParagraphFont"/>
    <w:rsid w:val="00575dcf"/>
    <w:rPr/>
  </w:style>
  <w:style w:type="character" w:styleId="EndnoteCharactersuser">
    <w:name w:val="Endnote Characters (user)"/>
    <w:rPr>
      <w:vertAlign w:val="superscript"/>
    </w:rPr>
  </w:style>
  <w:style w:type="character" w:styleId="EndnoteCharacters">
    <w:name w:val="Endnote Characters"/>
    <w:rPr/>
  </w:style>
  <w:style w:type="character" w:styleId="EndnoteReference">
    <w:name w:val="endnote reference"/>
    <w:rPr>
      <w:vertAlign w:val="superscript"/>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LineNumber">
    <w:name w:val="line number"/>
    <w:rPr/>
  </w:style>
  <w:style w:type="character" w:styleId="MainIndexEntry">
    <w:name w:val="Main Index Entry"/>
    <w:rPr>
      <w:b/>
      <w:bCs/>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Emphasis">
    <w:name w:val="Emphasis"/>
    <w:rPr>
      <w:i/>
      <w:iCs/>
    </w:rPr>
  </w:style>
  <w:style w:type="character" w:styleId="Quotation">
    <w:name w:val="Quotation"/>
    <w:rPr>
      <w:i/>
      <w:iCs/>
    </w:rPr>
  </w:style>
  <w:style w:type="character" w:styleId="SourceText">
    <w:name w:val="Source Text"/>
    <w:rPr>
      <w:rFonts w:ascii="Liberation Mono" w:hAnsi="Liberation Mono" w:eastAsia="Liberation Mono" w:cs="Liberation Mono"/>
    </w:rPr>
  </w:style>
  <w:style w:type="character" w:styleId="Example">
    <w:name w:val="Example"/>
    <w:rPr>
      <w:rFonts w:ascii="Liberation Mono" w:hAnsi="Liberation Mono" w:eastAsia="Liberation Mono" w:cs="Liberation Mono"/>
    </w:rPr>
  </w:style>
  <w:style w:type="character" w:styleId="UserEntry">
    <w:name w:val="User Entry"/>
    <w:rPr>
      <w:rFonts w:ascii="Liberation Mono" w:hAnsi="Liberation Mono" w:eastAsia="Liberation Mono"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Liberation Mono"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link w:val="BodyTextChar"/>
    <w:pPr>
      <w:pBdr>
        <w:top w:val="single" w:sz="12" w:space="5" w:color="000000"/>
        <w:left w:val="single" w:sz="12" w:space="5" w:color="000000"/>
        <w:bottom w:val="single" w:sz="12" w:space="5" w:color="000000"/>
        <w:right w:val="single" w:sz="12" w:space="5" w:color="000000"/>
      </w:pBdr>
      <w:tabs>
        <w:tab w:val="left" w:pos="720" w:leader="none"/>
        <w:tab w:val="left" w:pos="900" w:leader="none"/>
        <w:tab w:val="left" w:pos="1080" w:leader="none"/>
        <w:tab w:val="left" w:pos="1260" w:leader="none"/>
      </w:tabs>
      <w:spacing w:lineRule="auto" w:line="360"/>
      <w:jc w:val="both"/>
    </w:pPr>
    <w:rPr>
      <w:rFonts w:ascii="Arial" w:hAnsi="Arial"/>
      <w:szCs w:val="20"/>
      <w:lang w:val="en-GB" w:eastAsia="en-US"/>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Title">
    <w:name w:val="Title"/>
    <w:basedOn w:val="Normal"/>
    <w:link w:val="TitleChar"/>
    <w:qFormat/>
    <w:pPr>
      <w:jc w:val="center"/>
    </w:pPr>
    <w:rPr>
      <w:b/>
      <w:sz w:val="28"/>
      <w:szCs w:val="20"/>
    </w:rPr>
  </w:style>
  <w:style w:type="paragraph" w:styleId="BodyTextIndent">
    <w:name w:val="Body Text Indent"/>
    <w:basedOn w:val="Normal"/>
    <w:link w:val="BodyTextIndentChar"/>
    <w:pPr>
      <w:pBdr>
        <w:top w:val="single" w:sz="12" w:space="5" w:color="000000"/>
        <w:left w:val="single" w:sz="12" w:space="5" w:color="000000"/>
        <w:bottom w:val="single" w:sz="12" w:space="5" w:color="000000"/>
        <w:right w:val="single" w:sz="12" w:space="5" w:color="000000"/>
      </w:pBdr>
      <w:tabs>
        <w:tab w:val="left" w:pos="720" w:leader="none"/>
        <w:tab w:val="left" w:pos="900" w:leader="none"/>
      </w:tabs>
      <w:spacing w:lineRule="auto" w:line="360"/>
      <w:ind w:hanging="900" w:left="900"/>
      <w:jc w:val="both"/>
    </w:pPr>
    <w:rPr>
      <w:rFonts w:ascii="Arial" w:hAnsi="Arial"/>
      <w:szCs w:val="20"/>
      <w:lang w:val="en-GB" w:eastAsia="en-US"/>
    </w:rPr>
  </w:style>
  <w:style w:type="paragraph" w:styleId="BodyTextIndent2">
    <w:name w:val="Body Text Indent 2"/>
    <w:basedOn w:val="Normal"/>
    <w:link w:val="BodyTextIndent2Char"/>
    <w:pPr>
      <w:pBdr>
        <w:top w:val="single" w:sz="12" w:space="5" w:color="000000"/>
        <w:left w:val="single" w:sz="12" w:space="5" w:color="000000"/>
        <w:bottom w:val="single" w:sz="12" w:space="5" w:color="000000"/>
        <w:right w:val="single" w:sz="12" w:space="5" w:color="000000"/>
      </w:pBdr>
      <w:tabs>
        <w:tab w:val="left" w:pos="720" w:leader="none"/>
        <w:tab w:val="left" w:pos="900" w:leader="none"/>
        <w:tab w:val="left" w:pos="1080" w:leader="none"/>
      </w:tabs>
      <w:spacing w:lineRule="auto" w:line="360"/>
      <w:ind w:hanging="1080" w:left="1080"/>
      <w:jc w:val="both"/>
    </w:pPr>
    <w:rPr>
      <w:rFonts w:ascii="Arial" w:hAnsi="Arial"/>
      <w:szCs w:val="20"/>
      <w:lang w:val="en-GB" w:eastAsia="en-US"/>
    </w:rPr>
  </w:style>
  <w:style w:type="paragraph" w:styleId="FootnoteText">
    <w:name w:val="footnote text"/>
    <w:basedOn w:val="Normal"/>
    <w:link w:val="FootnoteTextChar"/>
    <w:semiHidden/>
    <w:pPr/>
    <w:rPr>
      <w:sz w:val="20"/>
      <w:szCs w:val="20"/>
    </w:rPr>
  </w:style>
  <w:style w:type="paragraph" w:styleId="HTMLPreformatted">
    <w:name w:val="HTML Preformatted"/>
    <w:basedOn w:val="Normal"/>
    <w:link w:val="HTMLPreformattedChar"/>
    <w:pPr>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lang w:val="en-US" w:eastAsia="en-US"/>
    </w:rPr>
  </w:style>
  <w:style w:type="paragraph" w:styleId="HeaderandFooter">
    <w:name w:val="Header and Footer"/>
    <w:basedOn w:val="Normal"/>
    <w:pPr/>
    <w:rPr/>
  </w:style>
  <w:style w:type="paragraph" w:styleId="Header">
    <w:name w:val="header"/>
    <w:basedOn w:val="Normal"/>
    <w:link w:val="HeaderChar"/>
    <w:pPr>
      <w:tabs>
        <w:tab w:val="clear" w:pos="720"/>
        <w:tab w:val="center" w:pos="4320" w:leader="none"/>
        <w:tab w:val="right" w:pos="8640" w:leader="none"/>
      </w:tabs>
    </w:pPr>
    <w:rPr/>
  </w:style>
  <w:style w:type="paragraph" w:styleId="BodyText2">
    <w:name w:val="Body Text 2"/>
    <w:basedOn w:val="Normal"/>
    <w:link w:val="BodyText2Char"/>
    <w:pPr>
      <w:spacing w:lineRule="auto" w:line="480" w:before="0" w:after="120"/>
    </w:pPr>
    <w:rPr/>
  </w:style>
  <w:style w:type="paragraph" w:styleId="Footer">
    <w:name w:val="footer"/>
    <w:basedOn w:val="Normal"/>
    <w:link w:val="FooterChar"/>
    <w:pPr>
      <w:tabs>
        <w:tab w:val="clear" w:pos="720"/>
        <w:tab w:val="center" w:pos="4320" w:leader="none"/>
        <w:tab w:val="right" w:pos="8640" w:leader="none"/>
      </w:tabs>
    </w:pPr>
    <w:rPr/>
  </w:style>
  <w:style w:type="paragraph" w:styleId="BodyTextIndent3">
    <w:name w:val="Body Text Indent 3"/>
    <w:basedOn w:val="Normal"/>
    <w:link w:val="BodyTextIndent3Char"/>
    <w:pPr>
      <w:spacing w:before="0" w:after="120"/>
      <w:ind w:left="360"/>
    </w:pPr>
    <w:rPr>
      <w:sz w:val="16"/>
      <w:szCs w:val="16"/>
    </w:rPr>
  </w:style>
  <w:style w:type="paragraph" w:styleId="BodyText3">
    <w:name w:val="Body Text 3"/>
    <w:basedOn w:val="Normal"/>
    <w:link w:val="BodyText3Char"/>
    <w:pPr>
      <w:spacing w:before="0" w:after="120"/>
    </w:pPr>
    <w:rPr>
      <w:sz w:val="16"/>
      <w:szCs w:val="16"/>
    </w:rPr>
  </w:style>
  <w:style w:type="paragraph" w:styleId="BalloonText">
    <w:name w:val="Balloon Text"/>
    <w:basedOn w:val="Normal"/>
    <w:link w:val="BalloonTextChar"/>
    <w:rsid w:val="00ea3ac1"/>
    <w:pPr/>
    <w:rPr>
      <w:rFonts w:ascii="Segoe UI" w:hAnsi="Segoe UI" w:cs="Segoe UI"/>
      <w:sz w:val="18"/>
      <w:szCs w:val="18"/>
    </w:rPr>
  </w:style>
  <w:style w:type="paragraph" w:styleId="ListParagraph">
    <w:name w:val="List Paragraph"/>
    <w:basedOn w:val="Normal"/>
    <w:uiPriority w:val="34"/>
    <w:qFormat/>
    <w:rsid w:val="008703ea"/>
    <w:pPr>
      <w:spacing w:before="0" w:after="0"/>
      <w:ind w:left="720"/>
      <w:contextualSpacing/>
    </w:pPr>
    <w:rPr/>
  </w:style>
  <w:style w:type="paragraph" w:styleId="List2">
    <w:name w:val="List 2"/>
    <w:basedOn w:val="Normal"/>
    <w:rsid w:val="00575dcf"/>
    <w:pPr>
      <w:ind w:hanging="283" w:left="566"/>
    </w:pPr>
    <w:rPr/>
  </w:style>
  <w:style w:type="paragraph" w:styleId="NoSpacing">
    <w:name w:val="No Spacing"/>
    <w:basedOn w:val="Normal"/>
    <w:qFormat/>
    <w:rsid w:val="00575dcf"/>
    <w:pPr/>
    <w:rPr>
      <w:rFonts w:ascii="Calibri" w:hAnsi="Calibri"/>
      <w:szCs w:val="32"/>
      <w:lang w:val="en-US" w:eastAsia="en-US" w:bidi="en-US"/>
    </w:rPr>
  </w:style>
  <w:style w:type="paragraph" w:styleId="NormalWeb">
    <w:name w:val="Normal (Web)"/>
    <w:basedOn w:val="Normal"/>
    <w:uiPriority w:val="99"/>
    <w:rsid w:val="00575dcf"/>
    <w:pPr>
      <w:spacing w:beforeAutospacing="1" w:afterAutospacing="1"/>
    </w:pPr>
    <w:rPr>
      <w:lang w:val="en-US" w:eastAsia="en-US"/>
    </w:rPr>
  </w:style>
  <w:style w:type="paragraph" w:styleId="NormalWeb2" w:customStyle="1">
    <w:name w:val="Normal (Web)2"/>
    <w:basedOn w:val="Normal"/>
    <w:rsid w:val="00575dcf"/>
    <w:pPr>
      <w:spacing w:before="131" w:after="131"/>
      <w:ind w:left="131" w:right="131"/>
    </w:pPr>
    <w:rPr>
      <w:lang w:val="en-US" w:eastAsia="en-US"/>
    </w:rPr>
  </w:style>
  <w:style w:type="paragraph" w:styleId="CommentText">
    <w:name w:val="annotation text"/>
    <w:basedOn w:val="Normal"/>
    <w:link w:val="CommentTextChar"/>
    <w:rsid w:val="00575dcf"/>
    <w:pPr/>
    <w:rPr>
      <w:sz w:val="20"/>
      <w:szCs w:val="20"/>
    </w:rPr>
  </w:style>
  <w:style w:type="paragraph" w:styleId="annotationsubject">
    <w:name w:val="annotation subject"/>
    <w:basedOn w:val="CommentText"/>
    <w:next w:val="CommentText"/>
    <w:link w:val="CommentSubjectChar"/>
    <w:rsid w:val="00575dcf"/>
    <w:pPr/>
    <w:rPr>
      <w:b/>
      <w:bCs/>
    </w:rPr>
  </w:style>
  <w:style w:type="paragraph" w:styleId="FrameContents">
    <w:name w:val="Frame Contents"/>
    <w:basedOn w:val="Normal"/>
    <w:pPr/>
    <w:rPr/>
  </w:style>
  <w:style w:type="paragraph" w:styleId="HeaderLeft">
    <w:name w:val="Header Left"/>
    <w:basedOn w:val="Header"/>
    <w:pPr/>
    <w:rPr/>
  </w:style>
  <w:style w:type="paragraph" w:styleId="FrameContentsuser">
    <w:name w:val="Frame Contents (user)"/>
    <w:basedOn w:val="Normal"/>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NoList" w:default="1">
    <w:name w:val="No List"/>
    <w:uiPriority w:val="99"/>
    <w:semiHidden/>
    <w:unhideWhenUsed/>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a51d22"/>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oleObject" Target="embeddings/oleObject1.bin"/><Relationship Id="rId3" Type="http://schemas.openxmlformats.org/officeDocument/2006/relationships/image" Target="media/image1.wmf"/><Relationship Id="rId4" Type="http://schemas.openxmlformats.org/officeDocument/2006/relationships/oleObject" Target="embeddings/oleObject2.bin"/><Relationship Id="rId5" Type="http://schemas.openxmlformats.org/officeDocument/2006/relationships/image" Target="media/image2.wmf"/><Relationship Id="rId6" Type="http://schemas.openxmlformats.org/officeDocument/2006/relationships/image" Target="media/image3.jpeg"/><Relationship Id="rId7" Type="http://schemas.openxmlformats.org/officeDocument/2006/relationships/image" Target="media/image4.jpeg"/><Relationship Id="rId8" Type="http://schemas.openxmlformats.org/officeDocument/2006/relationships/image" Target="media/image5.jpeg"/><Relationship Id="rId9" Type="http://schemas.openxmlformats.org/officeDocument/2006/relationships/image" Target="media/image6.jpeg"/><Relationship Id="rId10" Type="http://schemas.openxmlformats.org/officeDocument/2006/relationships/image" Target="media/image7.jpeg"/><Relationship Id="rId11" Type="http://schemas.openxmlformats.org/officeDocument/2006/relationships/image" Target="media/image8.jpeg"/><Relationship Id="rId12" Type="http://schemas.openxmlformats.org/officeDocument/2006/relationships/oleObject" Target="embeddings/oleObject3.bin"/><Relationship Id="rId13" Type="http://schemas.openxmlformats.org/officeDocument/2006/relationships/image" Target="media/image9.wmf"/><Relationship Id="rId14" Type="http://schemas.openxmlformats.org/officeDocument/2006/relationships/header" Target="header1.xml"/><Relationship Id="rId15" Type="http://schemas.openxmlformats.org/officeDocument/2006/relationships/header" Target="header2.xml"/><Relationship Id="rId16" Type="http://schemas.openxmlformats.org/officeDocument/2006/relationships/header" Target="header3.xml"/><Relationship Id="rId17" Type="http://schemas.openxmlformats.org/officeDocument/2006/relationships/footer" Target="footer1.xml"/><Relationship Id="rId18" Type="http://schemas.openxmlformats.org/officeDocument/2006/relationships/footer" Target="footer2.xml"/><Relationship Id="rId19" Type="http://schemas.openxmlformats.org/officeDocument/2006/relationships/footer" Target="footer3.xml"/><Relationship Id="rId20" Type="http://schemas.openxmlformats.org/officeDocument/2006/relationships/header" Target="header4.xml"/><Relationship Id="rId21" Type="http://schemas.openxmlformats.org/officeDocument/2006/relationships/header" Target="header5.xml"/><Relationship Id="rId22" Type="http://schemas.openxmlformats.org/officeDocument/2006/relationships/header" Target="header6.xml"/><Relationship Id="rId23" Type="http://schemas.openxmlformats.org/officeDocument/2006/relationships/footer" Target="footer4.xml"/><Relationship Id="rId24" Type="http://schemas.openxmlformats.org/officeDocument/2006/relationships/footer" Target="footer5.xml"/><Relationship Id="rId25" Type="http://schemas.openxmlformats.org/officeDocument/2006/relationships/footer" Target="footer6.xml"/><Relationship Id="rId26" Type="http://schemas.openxmlformats.org/officeDocument/2006/relationships/header" Target="header7.xml"/><Relationship Id="rId27" Type="http://schemas.openxmlformats.org/officeDocument/2006/relationships/header" Target="header8.xml"/><Relationship Id="rId28" Type="http://schemas.openxmlformats.org/officeDocument/2006/relationships/header" Target="header9.xml"/><Relationship Id="rId29" Type="http://schemas.openxmlformats.org/officeDocument/2006/relationships/footer" Target="footer7.xml"/><Relationship Id="rId30" Type="http://schemas.openxmlformats.org/officeDocument/2006/relationships/footer" Target="footer8.xml"/><Relationship Id="rId31" Type="http://schemas.openxmlformats.org/officeDocument/2006/relationships/footer" Target="footer9.xml"/><Relationship Id="rId32" Type="http://schemas.openxmlformats.org/officeDocument/2006/relationships/footnotes" Target="footnotes.xml"/><Relationship Id="rId33" Type="http://schemas.openxmlformats.org/officeDocument/2006/relationships/numbering" Target="numbering.xml"/><Relationship Id="rId34" Type="http://schemas.openxmlformats.org/officeDocument/2006/relationships/fontTable" Target="fontTable.xml"/><Relationship Id="rId35" Type="http://schemas.openxmlformats.org/officeDocument/2006/relationships/settings" Target="settings.xml"/><Relationship Id="rId36" Type="http://schemas.openxmlformats.org/officeDocument/2006/relationships/theme" Target="theme/theme1.xml"/><Relationship Id="rId37"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pitchFamily="0" charset="1"/>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837A23C-125F-426F-8DEB-C150003A63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62</TotalTime>
  <Application>LibreOffice/26.8.0.3$Linux_AARCH64 LibreOffice_project/680$Build-3</Application>
  <AppVersion>15.0000</AppVersion>
  <Pages>33</Pages>
  <Words>11756</Words>
  <Characters>67810</Characters>
  <CharactersWithSpaces>77477</CharactersWithSpaces>
  <Paragraphs>2047</Paragraphs>
  <Company>Arman</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2024-03-05T07:55:00Z</dcterms:created>
  <dc:creator>Manta Ioan</dc:creator>
  <dc:description/>
  <dc:language>en-US</dc:language>
  <cp:lastModifiedBy/>
  <cp:lastPrinted>2024-03-05T09:20:00Z</cp:lastPrinted>
  <dcterms:modified xsi:type="dcterms:W3CDTF">2026-10-01T22:40:10Z</dcterms:modified>
  <cp:revision>11</cp:revision>
  <dc:subject/>
  <dc:title>Universitatea „1 Decembrie 1918” din Alba Iulia</dc:title>
</cp:coreProperties>
</file>

<file path=docProps/custom.xml><?xml version="1.0" encoding="utf-8"?>
<Properties xmlns="http://schemas.openxmlformats.org/officeDocument/2006/custom-properties" xmlns:vt="http://schemas.openxmlformats.org/officeDocument/2006/docPropsVTypes"/>
</file>