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 2006 Art. 11, alin. (1), lit. b)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asumă{{/workplaceManagersAssumeImminentDanger}}{{^workplaceManagersAssumeImminentDanger}}desemnează pe {{imminentDangerText}}, cu{{/workplaceManagersAssumeImminentDanger}}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mijloacelor de comunicare necesare contactării serviciilor specializate: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personalul desemnat sau reprezentantul legal al angajatorului.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