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52 – 56,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122) </w:t>
      </w:r>
      <w:r>
        <w:rPr>
          <w:rFonts w:eastAsia="Arial" w:cs="Arial" w:ascii="Arial" w:hAnsi="Arial"/>
          <w:b w:val="false"/>
          <w:color w:val="auto"/>
          <w:spacing w:val="0"/>
          <w:w w:val="100"/>
          <w:sz w:val="20"/>
          <w:szCs w:val="20"/>
          <w:lang w:val="ro-RO"/>
        </w:rPr>
        <w:t>(1)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131)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pe teritoriul căruia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88/2001 privind înființarea, organizarea și funcționarea serviciilor publice comunitare pentru situații de urgență, aprobată cu modificări și completări prin Legea nr. 363/2002,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de lăuzie obligatoriu, salariatele prevăzute la art. 2 lit. d) și e),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
      </w:r>
      <w:r>
        <w:rPr>
          <w:rFonts w:eastAsia="Arial" w:cs="Arial" w:ascii="Arial" w:hAnsi="Arial"/>
          <w:b w:val="false"/>
          <w:color w:val="auto"/>
          <w:spacing w:val="0"/>
          <w:w w:val="100"/>
          <w:sz w:val="20"/>
          <w:szCs w:val="20"/>
          <w:shd w:fill="FFFFFF" w:val="clear"/>
          <w:lang w:val="ro-RO"/>
        </w:rPr>
        <w:t>(Preluare din HG 767/2016 – Art. II, pct. 1)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Legea 319/ 2006, angajatorul stabilește prin regulamentul intern instrucțiuni privind deplasarea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w:t>
      </w:r>
      <w:r>
        <w:rPr>
          <w:rFonts w:eastAsia="Arial" w:cs="Arial" w:ascii="Arial" w:hAnsi="Arial"/>
          <w:b w:val="false"/>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de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