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20"/>
          <w:szCs w:val="20"/>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circulația pietonilor și a bicicliștilor (în interiorul unității și în exteriorul unității);</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Style w:val="tli1"/>
          <w:rFonts w:ascii="Arial" w:hAnsi="Arial" w:cs="Arial"/>
          <w:sz w:val="20"/>
          <w:szCs w:val="20"/>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20"/>
          <w:szCs w:val="20"/>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20"/>
          <w:szCs w:val="20"/>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20"/>
          <w:szCs w:val="20"/>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20"/>
          <w:szCs w:val="20"/>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Factorii de risc identificați în urma evaluării riscurilor de accidentare și/ sau îmbolnăvire profesională, riscuri care pot apărea la fiecare loc de muncă pentru fiecare post de lucru, sunt prezentați în evaluarea riscurilor și în materialul de instruire introductiv-generală, în funcție de cele patru elemente ale sistemului de muncă (executant, sarcină de muncă, mijloace de producție, mediu de muncă).</w:t>
      </w:r>
    </w:p>
    <w:p>
      <w:pPr>
        <w:pStyle w:val="Normal"/>
        <w:widowControl/>
        <w:numPr>
          <w:ilvl w:val="0"/>
          <w:numId w:val="6"/>
        </w:numPr>
        <w:spacing w:before="0" w:after="12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prezentele </w:t>
      </w:r>
      <w:r>
        <w:rPr>
          <w:rStyle w:val="tpt1"/>
          <w:rFonts w:eastAsia="Arial" w:cs="Arial" w:ascii="Arial" w:hAnsi="Arial"/>
          <w:b w:val="false"/>
          <w:color w:val="auto"/>
          <w:spacing w:val="0"/>
          <w:w w:val="100"/>
          <w:sz w:val="20"/>
          <w:szCs w:val="20"/>
          <w:lang w:val="ro-RO"/>
        </w:rPr>
        <w:t xml:space="preserve">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319/2006,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 xml:space="preserve">(Preluare din H.G. 1425/2006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 xml:space="preserve">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 alin. (1) – conf. H.G. 259/2022)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 xml:space="preserve">{{provider.legalName}}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d</w:t>
      </w:r>
      <w:r>
        <w:rPr>
          <w:rStyle w:val="tal1"/>
          <w:rFonts w:eastAsia="Arial" w:cs="Arial" w:ascii="Arial" w:hAnsi="Arial"/>
          <w:b w:val="false"/>
          <w:color w:val="auto"/>
          <w:spacing w:val="0"/>
          <w:w w:val="100"/>
          <w:sz w:val="20"/>
          <w:szCs w:val="20"/>
          <w:lang w:val="ro-RO"/>
        </w:rPr>
        <w:t xml:space="preserve">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319/2006 (Legea securității și sănătății în muncă), respectiv cu Art. 15 alin. (1), punctul 6 și Art. 88 din H.G. 1425/2006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 xml:space="preserve">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 xml:space="preserve">{{client.legalName}}</w:t>
      </w:r>
      <w:r>
        <w:rPr>
          <w:rStyle w:val="tal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IPSSM</w:t>
      </w:r>
      <w:r>
        <w:rPr>
          <w:rFonts w:eastAsia="Arial" w:cs="Arial" w:ascii="Arial" w:hAnsi="Arial"/>
          <w:color w:val="auto"/>
          <w:spacing w:val="0"/>
          <w:w w:val="100"/>
          <w:sz w:val="20"/>
          <w:szCs w:val="20"/>
          <w:lang w:val="ro-RO"/>
        </w:rPr>
        <w:t xml:space="preserve"> va fi întocmit în conformitate cu prevederile Legii 319/2006 – Art. 7 alin. (1), lit. c), Art. 13 lit. e), H.G. 1425/2006 – Art. 15 alin. (1), punctul 3 și având ca scop </w:t>
      </w:r>
      <w:r>
        <w:rPr>
          <w:rStyle w:val="tpt1"/>
          <w:rFonts w:eastAsia="Arial" w:cs="Arial" w:ascii="Arial" w:hAnsi="Arial"/>
          <w:color w:val="auto"/>
          <w:spacing w:val="0"/>
          <w:w w:val="100"/>
          <w:sz w:val="20"/>
          <w:szCs w:val="20"/>
          <w:lang w:val="ro-RO"/>
        </w:rPr>
        <w:t xml:space="preserve">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w:t>
      </w:r>
      <w:r>
        <w:rPr>
          <w:rStyle w:val="tpa1"/>
          <w:rFonts w:eastAsia="Arial" w:cs="Arial" w:ascii="Arial" w:hAnsi="Arial"/>
          <w:b w:val="false"/>
          <w:color w:val="auto"/>
          <w:spacing w:val="0"/>
          <w:w w:val="100"/>
          <w:sz w:val="20"/>
          <w:szCs w:val="20"/>
          <w:lang w:val="ro-RO"/>
        </w:rPr>
        <w:t xml:space="preserve">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 xml:space="preserve">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 xml:space="preserve">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 xml:space="preserve">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 xml:space="preserve">{{client.legalName}}.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1425/2006 –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Primul ajutor se acordă de lucrătorii desemnați și instruiți în acest scop. Până la sosirea acestora, orice lucrător prezent sună la 112 și acordă primul ajutor de bază pe care îl cunoaște sau pe care i-l indică dispecerul 112.</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307/2006</w:t>
      </w:r>
      <w:r>
        <w:rPr>
          <w:rStyle w:val="tpt1"/>
          <w:rFonts w:eastAsia="Arial" w:cs="Arial" w:ascii="Arial" w:hAnsi="Arial"/>
          <w:b/>
          <w:i/>
          <w:color w:val="auto"/>
          <w:spacing w:val="0"/>
          <w:w w:val="100"/>
          <w:sz w:val="20"/>
          <w:szCs w:val="20"/>
          <w:lang w:val="ro-RO"/>
        </w:rPr>
        <w:t xml:space="preserve"> – </w:t>
      </w:r>
      <w:r>
        <w:rPr>
          <w:rStyle w:val="tpt1"/>
          <w:rFonts w:eastAsia="Arial" w:cs="Arial" w:ascii="Arial" w:hAnsi="Arial"/>
          <w:i/>
          <w:color w:val="auto"/>
          <w:spacing w:val="0"/>
          <w:w w:val="100"/>
          <w:sz w:val="20"/>
          <w:szCs w:val="20"/>
          <w:lang w:val="ro-RO"/>
        </w:rPr>
        <w:t xml:space="preserve">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307/2006 –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alte direcții decât cea a căii de circulație etc.);</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traversarea căilor de circulație de către pietoni se va face numai prin locurile marcate și semnalizate cu indicatoare,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în încăperile în care accesul persoanelor străine este interzis prin mijloace de informare special amplasate, interdicția se va respecta cu strictețe;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în față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centrul de greutate al corpului se deplasează prea departe de baza de sprijin.</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ascii="Arial" w:hAnsi="Arial" w:cs="Arial" w:eastAsia="Arial"/>
          <w:color w:val="auto"/>
          <w:sz w:val="20"/>
          <w:szCs w:val="20"/>
          <w:lang w:val="ro-RO"/>
        </w:rPr>
        <w:t xml:space="preserve">Se interzice descompletarea echipamentului electroizolant (podețe, covoare electroizolante etc.) aferent echipamentelor tehnice (dacă există), iar acolo unde nu există, dar cartea tehnică sau normele în vigoare le impun, podețele și covoarele electroizolante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către proprietarul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fiecare receptor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protejate împotriva curenților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cablul de alimentare,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în timp ce conduceți autovehiculul, păstrați-vă întotdeauna mâinile libere pentru conducere; prima grijă în timp ce conduceți trebuie să fie siguranța circulației.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dacă aparatul nu este rezistent la apă, nu îl utilizați în medii umede sau în ploaie și feriți-l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asigurați-vă că funcția de telefon a aparatului este pornită și în stare de funcționare; apăsați de câte ori este necesar tasta de închidere pentru a șterge afișajul și a reveni la ecranul de așteptare; tastați numărul de urgență (112) și apăsați tasta de apelare; comunicați locul în care vă aflați; nu încheiați convorbirea până nu vi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 solicitat ca anumite funcții ale aparatului să fie dezactivate sau să nu fie activate;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 xml:space="preserve">(2),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319/2006 –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Numele acestor lucrători și numărul de telefon la care pot fi apelați vor fi afișate la vedere, la locul de afișare a informațiilor utile.</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Numărul lucrătorilor desemnați să acorde primul ajutor și repartizarea lor se stabilesc de angajator, cu consultarea serviciului de prevenire și protecție, astfel încât un lucrător instruit în acordarea primului ajutor să poată ajunge rapid la fiecare loc de muncă, pe toată durata programului de lucru, ținând seama de numărul lucrătorilor, de distanțele dintre locurile de muncă, de organizarea în schimburi și de riscurile specifice activității.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activitatea se desfășoară în schimburi, angajatorul se asigură că primul ajutor poate fi acordat în fiecare schimb. Se recomandă desemnarea a cel puțin unui lucrător pentru fiecare schimb; dacă nu se procedează astfel, lucrătorii din schimbul respectiv sunt instruiți să sune la 112 și să acorde primul ajutor de bază până la sosirea ajutorului.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Mijloacele de comunicare cu serviciile de urgență (telefoanele fixe și mobile ale unității) trebuie să fie în permanență în stare de funcționare. Orice defecțiune se remediază de urgență, iar până la remediere se folosesc soluții alternative (de exemplu, telefonul mobil).</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Fiecare loc de muncă va fi dotat cu cel puțin o trusă de prim ajutor cu conținutul minim prevăzut de Ordinul 427/2002 – Anexa 3. Numărul truselor se stabilește potrivit Ordinului 427/2002 – Anexa 2; pentru activitățile industriale, agricole și de prestări de servicii, în secțiile de activitate cu mai mult de 5 persoane se asigură cel puțin o trusă la cel mult 25 de persoane, iar locurile de muncă dispersate au fiecare trusa lor, indiferent de numărul de lucrători.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Trusele de prim ajutor se amplasează la vedere, într-un loc ușor accesibil oricărei persoane.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Lucrătorii desemnați să acorde primul ajutor verifică periodic, la intervalul stabilit de angajator, precum și după fiecare folosire, dacă trusele de prim ajutor sunt complete și dacă materialele din ele nu au expirat.</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folosește numai echipamentele pentru care a fost instruit. Defibrilatorul automat extern face excepție: poate fi folosit de oricine, urmând instrucțiunile vocale ale aparatului.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evaluarea situației: ce s-a întâmplat, câte victime sunt și dacă mai există un pericol pentru victimă, pentru salvator sau pentru alte persoane;</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examinarea victimei: dacă răspunde, dacă respiră normal, dacă sângerează abundent;</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alertarea: apelarea numărului unic de urgență 112 și anunțarea lucrătorului desemnat să acorde primul ajutor și a conducătorului locului de muncă;</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acordarea primului ajutor potrivit stării victimei și supravegherea ei până la preluarea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locul exact al accidentului (adresa, clădirea, etajul, reperele și intrarea pe care o vor folosi echipajele);</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ce s-a întâmplat (cădere, electrocutare, arsură, intoxicație, îmbolnăvire bruscă);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numărul victimelor și starea lor (dacă răspund, dacă respiră, dacă sângerează);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pericolele care persistă (incendiu, gaz, curent electric, substanțe chimice);</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numărul de telefon de la care se sună.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 în această ordine:</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starea de conștiență: salvatorul scutură ușor victima de umeri și o întreabă tare „Mă auziți? Ce s-a întâmplat?”; dacă victima nu răspunde, cere ajutor și sună imediat la 112;</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sângerarea abundentă: dacă victima sângerează abundent, sângerarea se oprește imediat prin apăsare directă pe rană;</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căile respiratorii: la victima care nu răspunde, salvatorul pune o mână pe frunte și vârfurile degetelor celeilalte mâini sub bărbie și înclină ușor capul pe spate, ridicând bărbia;</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restul corpului: la victima care respiră normal se caută alte leziuni (cap, gât, torace, abdomen, bazin, membre), fără a o mișca inutil.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funcție de rezultatul examinării:</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În caz de îndoială, salvatorul presupune că victima este în stop cardiac și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îngenunchează lângă victima culcată pe spate, cu ambele picioare întinse;</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așază brațul victimei dinspre el în unghi drept față de corp, cu palma în sus;</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aduce celălalt braț al victimei peste piept și ține dosul palmei acesteia lipit de obrazul dinspre el;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 cealaltă mână, apucă piciorul victimei dinspre partea opusă chiar deasupra genunchiului și îl îndoaie, cu talpa pe sol;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ținând mâna victimei lipită de obraz, trage de genunchiul îndoit și rostogolește victima spre el, pe o parte;</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așază piciorul de deasupra cu șoldul și genunchiul îndoite în unghi drept;</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Compresiile toracice se execută astfel:</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pe o suprafață tare; dacă se află într-un pat, resuscitarea începe acolo, cu apăsări mai puternice, fără a pierde timp cu mutarea ei;</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descoperă pieptul victimei dacă hainele îl împiedică să găsească locul corect;</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ține brațele întinse, cu umerii vertical deasupra pieptului victimei;</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apasă pieptul în jos cu cel puțin 5 cm, dar nu mai mult de 6 cm;</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menține un ritm de 100–120 de compresii pe minut;</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fiecare compresie lasă pieptul să revină complet, fără să se sprijine pe el și fără să ridice mâinile;</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 la minimum pauzele dintre compresii.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instruit care poate și dorește să facă ventilații alternează 30 de compresii cu 2 ventilații (30:2):</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deschide căile respiratorii prin înclinarea capului pe spate și ridicarea bărbiei;</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 nasul victimei cu degetul mare și arătătorul mâinii de pe frunte;</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lasă pieptul să coboare și repetă o dată;</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reia imediat cele 30 de compresii.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aparatul analizează singur ritmul inimii, dă instrucțiuni vocale și nu administrează șoc dacă acesta nu este necesar. Se folosește astfel:</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imediat ce DEA este adus, se pornește și i se urmează instrucțiunile; dacă sunt doi salvatori, unul continuă compresiile cât timp celălalt lipește electrozii;</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electrozii se lipesc pe pieptul gol și uscat al victimei, ca în desenul de pe ei: unul sub clavicula dreaptă, lângă stern, celălalt pe partea stângă a pieptului, sub axilă;</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cât timp aparatul analizează ritmul și când administrează șocul, nimeni nu atinge victima;</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șoc, sau dacă șocul nu este indicat, compresiile se reiau imediat, iar instrucțiunile aparatului se urmează în continuare (de regulă, aparatul reanalizează ritmul la 2 minute);</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Lucrătorii trebuie să știe unde se află cel mai apropiat defibrilator, la locul de muncă sau în clădirile din apropiere.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Obstrucția căilor respiratorii cu un corp străin (înecarea cu mâncare sau cu un obiect) se suspectează atunci când o persoană, brusc, nu mai poate vorbi sau tuși, mai ales în timp ce mănâncă. Salvatorul o întreabă „V-ați înecat?” și procedează astfel:</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persoana tușește eficient, o încurajează să tușească și o supraveghează;</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obstrucția persistă, alternează câte 5 lovituri între omoplați cu 5 compresii abdominale și sună la 112;</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persoana nu mai răspunde, o culcă ușor pe sol, sună la 112, dacă nu s-a sunat deja, și începe imediat resuscitarea cardio-pulmonară.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introduce degetele orbește în gura victimei. Orice persoană căreia i s-au aplicat compresii abdominale trebuie văzută de un medic, chiar dacă își revine, din cauza riscului de leziuni interne.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poate duce la moarte în câteva minute și se oprește înaintea oricărei alte manevre:</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își pune mănuși, dacă le are la îndemână, fără să întârzie din această cauză;</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apasă direct și ferm pe rană cu o compresă sterilă sau cu o bucată de material curat; dacă nu are nimic la îndemână, apasă cu mâna;</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menține apăsarea continuu, fără să o slăbească pentru a verifica rana; dacă materialul se îmbibă cu sânge, pune alt material peste el, fără să îl îndepărteze pe primul;</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ce sângerarea s-a oprit, aplică un pansament compresiv (fașă înfășurată ferm peste comprese), care nu trebuie să oprească circulația în degete;</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culcă victima, o acoperă și o supraveghează, urmărind apariția semnelor de șoc.</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Comprimarea arterelor la distanță de rană și aplicarea de gheață nu se folosesc pentru oprirea unei sângerări care pune viața în pericol.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garoul se aplică pe membru la 5–7 cm deasupra rănii, dar nu peste o articulație;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strânge până când sângerarea scade și se oprește, chiar dacă este foarte dureros pentru victimă;</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ora aplicării se notează pe garou sau pe o etichetă prinsă de el;</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garoul nu se slăbește și nu se scoate; numai personalul medical îl îndepărtează;</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transportă de urgență la spital,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Plăgile (rănile) mici, care sângerează puțin, se îngrijesc astfel:</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se spală pe mâini și își pune mănuși;</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clătește rana cu apă curată de la robinet, ca să îndepărteze murdăria;</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toarnă alcool, tinctură de iod sau alte substanțe direct în rană; antisepticul din trusa de prim ajutor se poate folosi numai pe pielea din jurul rănii;</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acoperă rana cu o compresă sterilă sau cu un pansament adeziv, fără să pună vată direct pe rană;</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fixează compresa cu fașă sau cu leucoplast.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merge la medic dacă rana este adâncă, lungă sau murdară (pământ, rugină), dacă este produsă de o mușcătură, de o înțepătură sau de un obiect murdar, dacă în ea rămân corpuri străine, dacă în zilele următoare apar roșeață, căldură locală, puroi sau febră ori dacă victima nu știe dacă vaccinarea antitetanică este la zi.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arsurile produse de flacără, de lichide sau obiecte fierbinți ori de abur:</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oprește arderea: hainele aprinse se sting prin acoperire cu o pătură, o haină sau o pătură ignifugă ori prin rostogolirea victimei pe sol; victima nu trebuie să alerge;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arsura se răcește imediat cu apă curentă rece sau răcoroasă (nu cu gheață), cel puțin 20 de minute;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răcirii, inelele, ceasul, brățările și hainele din zona arsă se scot cu grijă, înainte să apară umflarea; hainele lipite de piele nu se smulg;</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răcire, arsura se acoperă lejer cu o compresă sterilă sau cu folie alimentară curată, fără a o strânge;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contactul pielii cu o substanță chimică (acizi, baze, var, ciment umed, produse de curățenie, solvenți):</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se protejează cu mănuși și, dacă este cazul, cu ochelari de protecție;</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încălțămintea și bijuteriile contaminate se scot;</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substanța uscată (pulberea) se îndepărtează mai întâi prin periere, apoi zona se spală;</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se spală imediat cu multă apă curentă, cel puțin 20 de minute, cu grijă ca apa contaminată să nu curgă pe pielea sănătoasă;</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încearcă neutralizarea acidului cu o bază sau invers;</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se comunică denumirea produsului de pe etichetă și din fișa cu date de securitate, iar ambalajul și fișa se predau echipajului.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stropirea ochilor cu o substanță chimică:</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ochiul se spală imediat, continuu, timp de 10–20 de minute, cu multă apă curată sau cu soluție de spălare oculară (la dușul sau stația de spălare a ochilor, dacă există);</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pleoapele se țin deschise, iar capul se înclină spre partea ochiului afectat, astfel încât apa să curgă dinspre nas spre exterior și să nu ajungă în ochiul sănătos;</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lentilele de contact se scot, dacă acest lucru se poate face ușor;</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ochiul nu se freacă și în el nu se pun picături sau unguente;</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 sau se sună la 112, chiar dacă durerea a trecut.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poartă mănuși atunci când substanța nu este cunoscută.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electrocutare, salvatorul nu atinge victima cât timp aceasta este în contact cu sursa de curent:</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 liniile și instalațiile de înaltă tensiune nu se apropie; sună la 112 și la distribuitorul de energie electrică și așteaptă confirmarea că instalația a fost scoasă de sub tensiune;</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întreruperea curentului, examinează victima și, dacă aceasta nu răspunde și nu respiră normal, începe resuscitarea și folosește defibrilatorul;</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electrocutată merge la medic, chiar dacă pare să se simtă bine, deoarece curentul electric poate produce tulburări de ritm ale inimii și leziuni interne care nu se văd.</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 fractură se suspectează atunci când, după o lovitură sau o cădere, victima are durere puternică, umflătură, deformare sau mișcare anormală a unui membru ori nu îl poate folosi. Primul ajutor:</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mișcă inutil, iar membrul rănit se sprijină în poziția în care a fost găsit;</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fractură cu deformare (cu unghi) nu se îndreaptă, iar oasele nu se pun la loc;</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fractura deschisă (cu rană prin care se poate vedea osul), sângerarea se oprește prin apăsare în jurul rănii, nu pe os, iar rana se acoperă cu o compresă sterilă înainte de imobilizare;</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imobilizare se verifică degetele: dacă devin reci, palide sau amorțite, legăturile se slăbesc;</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 deoarece poate avea nevoie de operație.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la fracturile coapsei, ale bazinului sau ale coloanei, la fracturile deschise și la orice fractură însoțită de semne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articulația se pune în repaus și se imobilizează în poziția în care a fost găsită; luxația nu se pune la loc, iar membrul nu se trage;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poate aplica, pentru scurt timp, o pungă cu gheață sau o compresă rece, învelite într-o cârpă, niciodată direct pe piele;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se ține ridicat, dacă poziția nu provoacă durere;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 articulația lovită nu se aplică masaj sau căldură;</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 luxațiile și entorsele cu deformare sau cu durere puternică se imobilizează ca fracturile.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mișcă decât dacă se află într-un pericol imediat;</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conștientă este îndemnată să stea nemișcată, în poziția în care se simte cel mai bine, fără a fi forțată într-o anumită poziție;</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vomită sau dacă respirația nu poate fi menținută liberă, este întoarsă pe o parte de mai multe persoane, care țin capul, gâtul și trunchiul în același ax;</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respiră normal, se începe resuscitarea: salvarea vieții are prioritate față de protejarea coloanei.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aplică guler cervical.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oprește imediat orice activitate fizică;</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este evaluată de un medic;</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rămâne singură și nu conduce.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toracelui (pieptului):</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conștientă este așezată în poziție semișezândă, sprijinită, care îi ușurează respirația;</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supraveghează respirația;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abdomenului (burții):</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culcă pe spate, cu genunchii ușor îndoiți și sprijiniți, dacă poziția nu îi provoacă durere;</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organele ieșite printr-o rană nu se împing înapoi; se acoperă, fără a fi apăsate, cu comprese sterile sau cu material curat umezit cu apă curată ori cu folie alimentară;</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După o lovitură puternică în abdomen, chiar fără rană, poate apărea o sângerare internă: piele palidă, rece și umedă, sete, neliniște, puls rapid, amețeală. Victima se tratează ca o victimă în stare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tratează cauza (de exemplu, se oprește sângerarea);</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dacă nu are leziuni ale picioarelor, ale bazinului sau ale coloanei, i se pot ridica picioarele, temporar, până la sosirea ajutorului;</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strânse la gât, la piept și în talie se desfac;</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acoperă și se izolează de sol, fără a fi supraîncălzită;</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 nu se lasă singură, este liniștită și supravegheată continuu;</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mai răspunde, dar respiră normal, este așezată în poziția laterală de siguranță; dacă nu respiră normal,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timpul unei crize convulsive, salvatorul:</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îndepărtează obiectele de care victima se poate lovi și îi protejează capul cu ceva moale;</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o imobilizează cu forța și nu îi introduce nimic în gură;</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notează cât durează criza;</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criză verifică respirația: dacă victima nu răspunde, dar respiră normal, o așază în poziția laterală de siguranță și o supraveghează până își revine complet; dacă nu respiră normal, începe resuscitarea.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este prima criză a persoanei, dacă criza durează mai mult de 5 minute sau se repetă, dacă victima s-a rănit, este însărcinată sau nu își revine.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Căldura (lucrul în soare, în încăperi supraîncălzite sau efortul fizic în echipament gros) poate produce:</w:t>
      </w:r>
    </w:p>
    <w:p>
      <w:pPr>
        <w:pStyle w:val="Normal"/>
        <w:widowControl/>
        <w:numPr>
          <w:ilvl w:val="0"/>
          <w:numId w:val="1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epuizarea prin căldură: oboseală, amețeală, durere de cap, greață, crampe musculare, transpirație abundentă, piele palidă și umedă;</w:t>
      </w:r>
    </w:p>
    <w:p>
      <w:pPr>
        <w:pStyle w:val="Normal"/>
        <w:widowControl/>
        <w:numPr>
          <w:ilvl w:val="0"/>
          <w:numId w:val="1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șocul termic: temperatura corpului foarte ridicată, confuzie, agitație, dezorientare, convulsii sau pierderea cunoștinței; pielea poate fi fierbinte și uscată sau transpirată.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la gât, la axile și în zona inghinală pungi cu gheață învelite într-o cârpă sau, dacă este posibil, corpul ei se scufundă în apă rece până la gât.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într-un loc adăpostit și cald, cu mișcări blânde, fără a fi pusă să meargă sau să facă efort;</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ude se înlocuiesc cu haine uscate;</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izolează de sol și se acoperă cu pături, inclusiv capul, iar peste ele, dacă există, cu folia izotermă din trusa de prim ajutor;</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freacă, nu se masează, nu se pune în apă fierbinte și nu primește alcool;</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dacă victima este confuză sau somnolentă ori nu mai tremură;</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și nu respiră normal, se începe resuscitarea, care se continuă până la sosirea echipajului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Degerăturile apar la degete, urechi, nas sau obraji: pielea devine albă sau cenușie, rece, tare și amorțită, iar mai târziu pot apărea bășici. Primul ajutor:</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într-un loc cald, iar inelele, încălțămintea și hainele strâmte se scot cu grijă;</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nu se freacă, nu se masează, nu se freacă cu zăpadă și nu se încălzește la foc, la sobă sau cu aer fierbinte;</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bășicile nu se sparg, iar zona se acoperă lejer cu comprese sterile, punând comprese și între degete;</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nu intră într-o încăpere sau într-un spațiu închis cu gaz sau lipsit de aer, fără aparat de respirat și fără să fie asigurat de o altă persoană; sună la 112;</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poate face acest lucru fără risc, deschide ușile și ferestrele și oprește sursa de gaz;</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scoasă la aer curat se examinează: dacă nu răspunde, dar respiră normal, este așezată în poziția laterală de siguranță; dacă nu respiră normal, se începe resuscitarea;</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orice persoană intoxicată cu gaze merge la medic, chiar dacă pare să-și fi revenit.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înghițirea, inhalarea sau contactul cu o substanță toxică (produse de curățenie, solvenți, pesticide, combustibili):</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îndepărtează de sursă, fără ca salvatorul să se expună;</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comunică denumirea produsului, cantitatea și momentul expunerii; ambalajul, eticheta și fișa cu date de securitate se predau echipajului;</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este pusă să vomite și nu primește lapte, apă sau alte lichide decât la indicația dispecerului 112;</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substanța ajunsă pe piele sau în ochi se spală ca la arsurile chimice;</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caz de înec:</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care nu este instruit în salvarea din apă nu intră în apă: strigă după ajutor, sună la 112 și întinde victimei un colac, o frânghie, o prăjină sau orice obiect care plutește;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instruit intră în apă numai cu un mijloc de plutire;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scoaterea din apă, dacă victima nu răspunde și nu respiră normal, salvatorul face mai întâi 5 ventilații și continuă apoi resuscitarea cu 30 de compresii și 2 ventilații;</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pierde timp cu încercarea de a scoate apa din plămâni;</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lipirea electrozilor defibrilatorului, pieptul victimei se șterge;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șterge, se acoperă și se protejează de frig.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salvată de la înec merge la spital, chiar dacă pare să-și fi revenit, deoarece complicațiile respiratorii pot apărea și după câteva ore.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România, singurii șerpi veninoși sunt viperele. La mușcătura de șarpe:</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liniștită, ține repaus complet și nu merge, dacă nu este necesar;</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mușcat se imobilizează, iar inelele, ceasul și hainele strâmte se scot înainte să apară umflarea;</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rana se acoperă cu o compresă sterilă.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Nu se aplică garou, bandaj compresiv, gheață sau căldură, rana nu se taie și nu se arde, veninul nu se suge, iar victimei nu i se dă alcool.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înțepătura de albină sau de viespe, acul rămas în piele se îndepărtează cât mai repede, prin răzuire cu unghia sau cu marginea unui card, fără a strânge punga cu venin, iar pe loc se aplică o compresă rece. Persoana înțepată este supravegheată, urmărindu-se apariția semnelor unei reacții alergice. Înțepătura în gură sau în gât impune apelarea imediată a numărului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Victima nu se mută din locul în care a fost găsită, cu excepția situațiilor în care:</w:t>
      </w:r>
    </w:p>
    <w:p>
      <w:pPr>
        <w:pStyle w:val="Normal"/>
        <w:widowControl/>
        <w:numPr>
          <w:ilvl w:val="0"/>
          <w:numId w:val="14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există un pericol imediat pentru ea sau pentru salvator (incendiu, fum, gaz, pericol de explozie sau de prăbușire, trafic, utilaje în mișcare);</w:t>
      </w:r>
    </w:p>
    <w:p>
      <w:pPr>
        <w:pStyle w:val="Normal"/>
        <w:widowControl/>
        <w:numPr>
          <w:ilvl w:val="0"/>
          <w:numId w:val="14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mutarea este necesară pentru resuscitare (de exemplu, victima trebuie întoarsă pe spate).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Până la sosirea echipajului de urgență, salvatorul:</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rămâne lângă victimă, o liniștește și îi vorbește calm, chiar dacă pare că nu răspunde;</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îi verifică regulat starea de conștiență și respirația și reacționează la orice schimbare;</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protejează de frig, de căldură și de privirile curioșilor;</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notează ce s-a întâmplat, ora, ajutorul acordat și orice schimbare a stării victimei;</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sosirea echipajului, îi predă aceste informații, precum și ambalajele substanțelor implicate, dacă este cazul.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expune unui pericol (curent electric, gaz, fum, apă, spațiu închis, pericol de prăbușire) fără echipament și fără pregătire;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mută victima decât dacă este absolut necesar;</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nimic de mâncat sau de băut unei victime care nu este complet conștientă, care are o rană la abdomen sau care poate avea nevoie de operație;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pe spate o victimă care nu răspunde, dar respiră normal, ci o așază în poziția laterală de siguranță, dacă nu suspectează o leziune a coloanei;</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obiectele înfipte în corp și nu împinge înapoi organele ieșite printr-o rană;</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îndreaptă fracturile și nu pune la loc luxațiile;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slăbește și nu scoate un garou aplicat;</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pune gheață, creme, ulei sau alte substanțe pe arsuri și nu sparge bășicile;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 rănile cu mâinile goale sau cu obiecte murdare;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hainele și încălțămintea unei victime grav rănite trăgând de ele; dacă este nevoie, le taie;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casca de protecție a victimei, decât dacă aceasta împiedică deschiderea căilor respiratorii sau resuscitarea;</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victima nesupravegheată;</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oprește resuscitarea decât dacă victima își revine, dacă echipajul de urgență preia victima sau dacă este epuizat.</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20"/>
          <w:szCs w:val="20"/>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activarea scurgerii gazului lichefiat din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20"/>
          <w:szCs w:val="20"/>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20"/>
          <w:szCs w:val="20"/>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nu pot fi distruse prin foc deschis; ele se elimină cu respectarea prevederilor legale în vigoare.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20"/>
          <w:szCs w:val="20"/>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20"/>
          <w:szCs w:val="20"/>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 112.</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cel puțin 20 de minute,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1091/2006 –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ascii="Arial" w:hAnsi="Arial" w:cs="Arial" w:eastAsia="Arial"/>
          <w:color w:val="auto"/>
          <w:sz w:val="20"/>
          <w:szCs w:val="20"/>
          <w:lang w:val="ro-RO"/>
        </w:rPr>
        <w:t xml:space="preserve">Referitor la iluminatul natural și artificial și la uși:</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se va face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iluminatului general în birouri (încăperi cu VDT) să nu depășească 300 lx, iar la studiul documentelor să se asigure iluminat local (ideal 500 – 700 lx).</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va fi așezat în fața utilizatorului, cu marginea de sus a ecranului la nivelul ochilor sau puțin sub acesta;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prevină expunerea salariatelor prevăzute la art. 2 lit. c) – e) din O.U.G. 96/2003 la riscuri ce le pot afecta sănătatea și securitatea;</w:t>
      </w:r>
    </w:p>
    <w:p>
      <w:pPr>
        <w:pStyle w:val="Normal"/>
        <w:widowControl/>
        <w:numPr>
          <w:ilvl w:val="0"/>
          <w:numId w:val="9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5) (1)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0"/>
          <w:numId w:val="9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0"/>
          <w:numId w:val="9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7) (1) În termen de 10 zile lucrătoare de la data la care angajatorul a fost anunțat în scris de către o salariată că se află în una dintre situațiile prevăzute la art. 2 lit. c) – e) 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9) (1)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0"/>
          <w:numId w:val="10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0"/>
          <w:numId w:val="10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12) (1) Pentru salariatele care se află în una dintre situațiile prevăzute la art. 2 lit. c) și d) din O.U.G. 96/2003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15) Angajatorii au obligația de a acorda salariatelor gravide dispensă pentru consultații prenatale în limita a maximum 16 ore pe lună, în condițiile prevăzute la art. 2 lit. f) din O.U.G. 96/2003,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16) 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19) (1)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prevăzute la art. 2 lit. c) – e) din O.U.G. 96/2003, din motive care au legătură directă cu starea sa;</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22) (1) Salariatele prevăzute la art. 21 alin. (1) din O.U.G. 96/2003,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24) (1) Angajatorul care a încetat raportul de muncă sau de serviciu cu o salariată prevăzută la art. 21 din O.U.G. 96/2003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25) (1) Inspectoratul teritorial de muncă pe a cărui rază își desfășoară activitatea angajatorul sau, după caz, Agenția Națională a Funcționarilor Publici, în termen de 7 zile de la data primirii deciziei prevăzute la art. 23 din O.U.G. 96/2003,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202/2002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Anexa 2) Lista 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96/2003:</w:t>
      </w:r>
    </w:p>
    <w:p>
      <w:pPr>
        <w:pStyle w:val="Normal"/>
        <w:widowControl/>
        <w:numPr>
          <w:ilvl w:val="0"/>
          <w:numId w:val="10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96/2003:</w:t>
      </w:r>
    </w:p>
    <w:p>
      <w:pPr>
        <w:pStyle w:val="Normal"/>
        <w:widowControl/>
        <w:numPr>
          <w:ilvl w:val="0"/>
          <w:numId w:val="10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6) (1) Angajatorul este obligat să ia măsurile necesare pentru asigurarea securității și protejarea sănătății tinerilor, ținând seama, în special, de riscurile specifice prevăzute la art. 9 din H.G. 600/2007.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8) Angajatorul apelează la serviciile de prevenire și protecție, prevăzute la art. 7 din Legea 319/2006,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600/2007 și în scopul prevăzut la art. 9 alin. (1) din H.G. 600/2007 este interzisă angajarea tinerilor pentru activități care: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600/2007, figurează, în special:</w:t>
      </w:r>
    </w:p>
    <w:p>
      <w:pPr>
        <w:pStyle w:val="Normal"/>
        <w:widowControl/>
        <w:numPr>
          <w:ilvl w:val="0"/>
          <w:numId w:val="10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600/2007;</w:t>
      </w:r>
    </w:p>
    <w:p>
      <w:pPr>
        <w:pStyle w:val="Normal"/>
        <w:widowControl/>
        <w:numPr>
          <w:ilvl w:val="0"/>
          <w:numId w:val="10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procedeele și activitățile prevăzute la pct. II din anexa la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Fonts w:ascii="Arial" w:hAnsi="Arial" w:cs="Arial" w:eastAsia="Arial"/>
          <w:color w:val="auto"/>
          <w:sz w:val="20"/>
          <w:szCs w:val="20"/>
          <w:lang w:val="ro-RO"/>
        </w:rPr>
        <w:t xml:space="preserve">Capitolul XI. Instrucțiuni proprii în domeniul securității și sănătății în muncă privind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ascii="Arial" w:hAnsi="Arial" w:cs="Arial" w:eastAsia="Arial"/>
          <w:color w:val="auto"/>
          <w:sz w:val="20"/>
          <w:szCs w:val="20"/>
          <w:lang w:val="ro-RO"/>
        </w:rPr>
        <w:t xml:space="preserve">Distanța dintre mijloacele de transport nemecanizate: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20"/>
          <w:szCs w:val="20"/>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20"/>
          <w:szCs w:val="20"/>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20"/>
          <w:szCs w:val="20"/>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securitate și sănătate în muncă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20"/>
          <w:szCs w:val="20"/>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20"/>
          <w:szCs w:val="20"/>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spre treptele superioare ale scării este recomandată asigurarea (fixarea, ținerea) scării de către o altă persoană pentru evitarea balansului sau răsturnării scării; nu se urcă mai sus de ultima treaptă permisă de producător.</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20"/>
          <w:szCs w:val="20"/>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ascii="Arial" w:hAnsi="Arial" w:cs="Arial" w:eastAsia="Arial"/>
          <w:color w:val="auto"/>
          <w:sz w:val="20"/>
          <w:szCs w:val="20"/>
          <w:lang w:val="ro-RO"/>
        </w:rPr>
        <w:t xml:space="preserve">Ridicarea manuală corectă – verificări înainte de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 xml:space="preserve">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319/2006), </w:t>
      </w:r>
      <w:r>
        <w:rPr>
          <w:rStyle w:val="tal1"/>
          <w:rFonts w:eastAsia="Arial" w:cs="Arial" w:ascii="Arial" w:hAnsi="Arial"/>
          <w:color w:val="auto"/>
          <w:spacing w:val="0"/>
          <w:w w:val="100"/>
          <w:sz w:val="20"/>
          <w:szCs w:val="20"/>
          <w:lang w:val="ro-RO"/>
        </w:rPr>
        <w:t xml:space="preserve">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 xml:space="preserve">a</w:t>
      </w:r>
      <w:r>
        <w:rPr>
          <w:rStyle w:val="tpa1"/>
          <w:rFonts w:eastAsia="Arial" w:cs="Arial" w:ascii="Arial" w:hAnsi="Arial"/>
          <w:color w:val="auto"/>
          <w:spacing w:val="0"/>
          <w:w w:val="100"/>
          <w:sz w:val="20"/>
          <w:szCs w:val="20"/>
          <w:lang w:val="ro-RO"/>
        </w:rPr>
        <w:t xml:space="preserve">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 xml:space="preserve">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1048/2006</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15) </w:t>
      </w: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 xml:space="preserve">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 xml:space="preserve">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mâinilor,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decimal"/>
      <w:lvlText w:val="%2."/>
      <w:lvlJc w:val="left"/>
      <w:pPr>
        <w:tabs>
          <w:tab w:val="num" w:pos="720"/>
        </w:tabs>
        <w:ind w:left="720" w:hanging="360"/>
      </w:pPr>
      <w:rPr>
        <w:b/>
        <w:i w:val="false"/>
        <w:sz w:val="20"/>
        <w:szCs w:val="20"/>
        <w:effect w:val="none"/>
      </w:rPr>
    </w:lvl>
    <w:lvl w:ilvl="2">
      <w:start w:val="1"/>
      <w:numFmt w:val="lowerLetter"/>
      <w:lvlText w:val="%3)"/>
      <w:lvlJc w:val="left"/>
      <w:pPr>
        <w:tabs>
          <w:tab w:val="num" w:pos="720"/>
        </w:tabs>
        <w:ind w:left="720" w:hanging="360"/>
      </w:pPr>
      <w:rPr>
        <w:b/>
        <w:i w:val="false"/>
        <w:sz w:val="20"/>
        <w:szCs w:val="20"/>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20"/>
        <w:szCs w:val="20"/>
        <w:effect w:val="none"/>
      </w:rPr>
    </w:lvl>
    <w:lvl w:ilvl="2">
      <w:start w:val="1"/>
      <w:numFmt w:val="lowerLetter"/>
      <w:lvlText w:val="%3)"/>
      <w:lvlJc w:val="left"/>
      <w:pPr>
        <w:tabs>
          <w:tab w:val="num" w:pos="720"/>
        </w:tabs>
        <w:ind w:left="720" w:hanging="360"/>
      </w:pPr>
      <w:rPr>
        <w:b/>
        <w:i w:val="false"/>
        <w:sz w:val="20"/>
        <w:szCs w:val="20"/>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20"/>
        <w:szCs w:val="20"/>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val="false"/>
        <w:i w:val="false"/>
        <w:sz w:val="20"/>
        <w:szCs w:val="20"/>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val="false"/>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20"/>
        <w:szCs w:val="20"/>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20"/>
        <w:szCs w:val="20"/>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3">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 w:numId="117">
    <w:abstractNumId w:val="93"/>
    <w:lvlOverride w:ilvl="0">
      <w:startOverride w:val="1"/>
    </w:lvlOverride>
    <w:lvlOverride w:ilvl="1">
      <w:startOverride w:val="1"/>
    </w:lvlOverride>
    <w:lvlOverride w:ilvl="2">
      <w:startOverride w:val="1"/>
    </w:lvlOverride>
  </w:num>
  <w:num w:numId="118">
    <w:abstractNumId w:val="93"/>
    <w:lvlOverride w:ilvl="0">
      <w:startOverride w:val="1"/>
    </w:lvlOverride>
    <w:lvlOverride w:ilvl="1">
      <w:startOverride w:val="1"/>
    </w:lvlOverride>
    <w:lvlOverride w:ilvl="2">
      <w:startOverride w:val="1"/>
    </w:lvlOverride>
  </w:num>
  <w:num w:numId="119">
    <w:abstractNumId w:val="93"/>
    <w:lvlOverride w:ilvl="0">
      <w:startOverride w:val="1"/>
    </w:lvlOverride>
    <w:lvlOverride w:ilvl="1">
      <w:startOverride w:val="1"/>
    </w:lvlOverride>
    <w:lvlOverride w:ilvl="2">
      <w:startOverride w:val="1"/>
    </w:lvlOverride>
  </w:num>
  <w:num w:numId="120">
    <w:abstractNumId w:val="94"/>
    <w:lvlOverride w:ilvl="0">
      <w:startOverride w:val="1"/>
    </w:lvlOverride>
    <w:lvlOverride w:ilvl="1">
      <w:startOverride w:val="1"/>
    </w:lvlOverride>
    <w:lvlOverride w:ilvl="2">
      <w:startOverride w:val="1"/>
    </w:lvlOverride>
  </w:num>
  <w:num w:numId="121">
    <w:abstractNumId w:val="93"/>
    <w:lvlOverride w:ilvl="0">
      <w:startOverride w:val="1"/>
    </w:lvlOverride>
    <w:lvlOverride w:ilvl="1">
      <w:startOverride w:val="1"/>
    </w:lvlOverride>
    <w:lvlOverride w:ilvl="2">
      <w:startOverride w:val="1"/>
    </w:lvlOverride>
  </w:num>
  <w:num w:numId="122">
    <w:abstractNumId w:val="93"/>
    <w:lvlOverride w:ilvl="0">
      <w:startOverride w:val="1"/>
    </w:lvlOverride>
    <w:lvlOverride w:ilvl="1">
      <w:startOverride w:val="1"/>
    </w:lvlOverride>
    <w:lvlOverride w:ilvl="2">
      <w:startOverride w:val="1"/>
    </w:lvlOverride>
  </w:num>
  <w:num w:numId="123">
    <w:abstractNumId w:val="93"/>
    <w:lvlOverride w:ilvl="0">
      <w:startOverride w:val="1"/>
    </w:lvlOverride>
    <w:lvlOverride w:ilvl="1">
      <w:startOverride w:val="1"/>
    </w:lvlOverride>
    <w:lvlOverride w:ilvl="2">
      <w:startOverride w:val="1"/>
    </w:lvlOverride>
  </w:num>
  <w:num w:numId="124">
    <w:abstractNumId w:val="93"/>
    <w:lvlOverride w:ilvl="0">
      <w:startOverride w:val="1"/>
    </w:lvlOverride>
    <w:lvlOverride w:ilvl="1">
      <w:startOverride w:val="1"/>
    </w:lvlOverride>
    <w:lvlOverride w:ilvl="2">
      <w:startOverride w:val="1"/>
    </w:lvlOverride>
  </w:num>
  <w:num w:numId="125">
    <w:abstractNumId w:val="93"/>
    <w:lvlOverride w:ilvl="0">
      <w:startOverride w:val="1"/>
    </w:lvlOverride>
    <w:lvlOverride w:ilvl="1">
      <w:startOverride w:val="1"/>
    </w:lvlOverride>
    <w:lvlOverride w:ilvl="2">
      <w:startOverride w:val="1"/>
    </w:lvlOverride>
  </w:num>
  <w:num w:numId="126">
    <w:abstractNumId w:val="93"/>
    <w:lvlOverride w:ilvl="0">
      <w:startOverride w:val="1"/>
    </w:lvlOverride>
    <w:lvlOverride w:ilvl="1">
      <w:startOverride w:val="1"/>
    </w:lvlOverride>
    <w:lvlOverride w:ilvl="2">
      <w:startOverride w:val="1"/>
    </w:lvlOverride>
  </w:num>
  <w:num w:numId="127">
    <w:abstractNumId w:val="93"/>
    <w:lvlOverride w:ilvl="0">
      <w:startOverride w:val="1"/>
    </w:lvlOverride>
    <w:lvlOverride w:ilvl="1">
      <w:startOverride w:val="1"/>
    </w:lvlOverride>
    <w:lvlOverride w:ilvl="2">
      <w:startOverride w:val="1"/>
    </w:lvlOverride>
  </w:num>
  <w:num w:numId="128">
    <w:abstractNumId w:val="93"/>
    <w:lvlOverride w:ilvl="0">
      <w:startOverride w:val="1"/>
    </w:lvlOverride>
    <w:lvlOverride w:ilvl="1">
      <w:startOverride w:val="1"/>
    </w:lvlOverride>
    <w:lvlOverride w:ilvl="2">
      <w:startOverride w:val="1"/>
    </w:lvlOverride>
  </w:num>
  <w:num w:numId="129">
    <w:abstractNumId w:val="93"/>
    <w:lvlOverride w:ilvl="0">
      <w:startOverride w:val="1"/>
    </w:lvlOverride>
    <w:lvlOverride w:ilvl="1">
      <w:startOverride w:val="1"/>
    </w:lvlOverride>
    <w:lvlOverride w:ilvl="2">
      <w:startOverride w:val="1"/>
    </w:lvlOverride>
  </w:num>
  <w:num w:numId="130">
    <w:abstractNumId w:val="93"/>
    <w:lvlOverride w:ilvl="0">
      <w:startOverride w:val="1"/>
    </w:lvlOverride>
    <w:lvlOverride w:ilvl="1">
      <w:startOverride w:val="1"/>
    </w:lvlOverride>
    <w:lvlOverride w:ilvl="2">
      <w:startOverride w:val="1"/>
    </w:lvlOverride>
  </w:num>
  <w:num w:numId="131">
    <w:abstractNumId w:val="93"/>
    <w:lvlOverride w:ilvl="0">
      <w:startOverride w:val="1"/>
    </w:lvlOverride>
    <w:lvlOverride w:ilvl="1">
      <w:startOverride w:val="1"/>
    </w:lvlOverride>
    <w:lvlOverride w:ilvl="2">
      <w:startOverride w:val="1"/>
    </w:lvlOverride>
  </w:num>
  <w:num w:numId="132">
    <w:abstractNumId w:val="93"/>
    <w:lvlOverride w:ilvl="0">
      <w:startOverride w:val="1"/>
    </w:lvlOverride>
    <w:lvlOverride w:ilvl="1">
      <w:startOverride w:val="1"/>
    </w:lvlOverride>
    <w:lvlOverride w:ilvl="2">
      <w:startOverride w:val="1"/>
    </w:lvlOverride>
  </w:num>
  <w:num w:numId="133">
    <w:abstractNumId w:val="93"/>
    <w:lvlOverride w:ilvl="0">
      <w:startOverride w:val="1"/>
    </w:lvlOverride>
    <w:lvlOverride w:ilvl="1">
      <w:startOverride w:val="1"/>
    </w:lvlOverride>
    <w:lvlOverride w:ilvl="2">
      <w:startOverride w:val="1"/>
    </w:lvlOverride>
  </w:num>
  <w:num w:numId="134">
    <w:abstractNumId w:val="93"/>
    <w:lvlOverride w:ilvl="0">
      <w:startOverride w:val="1"/>
    </w:lvlOverride>
    <w:lvlOverride w:ilvl="1">
      <w:startOverride w:val="1"/>
    </w:lvlOverride>
    <w:lvlOverride w:ilvl="2">
      <w:startOverride w:val="1"/>
    </w:lvlOverride>
  </w:num>
  <w:num w:numId="135">
    <w:abstractNumId w:val="93"/>
    <w:lvlOverride w:ilvl="0">
      <w:startOverride w:val="1"/>
    </w:lvlOverride>
    <w:lvlOverride w:ilvl="1">
      <w:startOverride w:val="1"/>
    </w:lvlOverride>
    <w:lvlOverride w:ilvl="2">
      <w:startOverride w:val="1"/>
    </w:lvlOverride>
  </w:num>
  <w:num w:numId="136">
    <w:abstractNumId w:val="93"/>
    <w:lvlOverride w:ilvl="0">
      <w:startOverride w:val="1"/>
    </w:lvlOverride>
    <w:lvlOverride w:ilvl="1">
      <w:startOverride w:val="1"/>
    </w:lvlOverride>
    <w:lvlOverride w:ilvl="2">
      <w:startOverride w:val="1"/>
    </w:lvlOverride>
  </w:num>
  <w:num w:numId="137">
    <w:abstractNumId w:val="93"/>
    <w:lvlOverride w:ilvl="0">
      <w:startOverride w:val="1"/>
    </w:lvlOverride>
    <w:lvlOverride w:ilvl="1">
      <w:startOverride w:val="1"/>
    </w:lvlOverride>
    <w:lvlOverride w:ilvl="2">
      <w:startOverride w:val="1"/>
    </w:lvlOverride>
  </w:num>
  <w:num w:numId="138">
    <w:abstractNumId w:val="93"/>
    <w:lvlOverride w:ilvl="0">
      <w:startOverride w:val="1"/>
    </w:lvlOverride>
    <w:lvlOverride w:ilvl="1">
      <w:startOverride w:val="1"/>
    </w:lvlOverride>
    <w:lvlOverride w:ilvl="2">
      <w:startOverride w:val="1"/>
    </w:lvlOverride>
  </w:num>
  <w:num w:numId="139">
    <w:abstractNumId w:val="93"/>
    <w:lvlOverride w:ilvl="0">
      <w:startOverride w:val="1"/>
    </w:lvlOverride>
    <w:lvlOverride w:ilvl="1">
      <w:startOverride w:val="1"/>
    </w:lvlOverride>
    <w:lvlOverride w:ilvl="2">
      <w:startOverride w:val="1"/>
    </w:lvlOverride>
  </w:num>
  <w:num w:numId="140">
    <w:abstractNumId w:val="93"/>
    <w:lvlOverride w:ilvl="0">
      <w:startOverride w:val="1"/>
    </w:lvlOverride>
    <w:lvlOverride w:ilvl="1">
      <w:startOverride w:val="1"/>
    </w:lvlOverride>
    <w:lvlOverride w:ilvl="2">
      <w:startOverride w:val="1"/>
    </w:lvlOverride>
  </w:num>
  <w:num w:numId="141">
    <w:abstractNumId w:val="94"/>
    <w:lvlOverride w:ilvl="0">
      <w:startOverride w:val="1"/>
    </w:lvlOverride>
    <w:lvlOverride w:ilvl="1">
      <w:startOverride w:val="1"/>
    </w:lvlOverride>
    <w:lvlOverride w:ilvl="2">
      <w:startOverride w:val="1"/>
    </w:lvlOverride>
  </w:num>
  <w:num w:numId="142">
    <w:abstractNumId w:val="93"/>
    <w:lvlOverride w:ilvl="0">
      <w:startOverride w:val="1"/>
    </w:lvlOverride>
    <w:lvlOverride w:ilvl="1">
      <w:startOverride w:val="1"/>
    </w:lvlOverride>
    <w:lvlOverride w:ilvl="2">
      <w:startOverride w:val="1"/>
    </w:lvlOverride>
  </w:num>
  <w:num w:numId="143">
    <w:abstractNumId w:val="93"/>
    <w:lvlOverride w:ilvl="0">
      <w:startOverride w:val="1"/>
    </w:lvlOverride>
    <w:lvlOverride w:ilvl="1">
      <w:startOverride w:val="1"/>
    </w:lvlOverride>
    <w:lvlOverride w:ilvl="2">
      <w:startOverride w:val="1"/>
    </w:lvlOverride>
  </w:num>
  <w:num w:numId="144">
    <w:abstractNumId w:val="93"/>
    <w:lvlOverride w:ilvl="0">
      <w:startOverride w:val="1"/>
    </w:lvlOverride>
    <w:lvlOverride w:ilvl="1">
      <w:startOverride w:val="1"/>
    </w:lvlOverride>
    <w:lvlOverride w:ilvl="2">
      <w:startOverride w:val="1"/>
    </w:lvlOverride>
  </w:num>
  <w:num w:numId="145">
    <w:abstractNumId w:val="93"/>
    <w:lvlOverride w:ilvl="0">
      <w:startOverride w:val="1"/>
    </w:lvlOverride>
    <w:lvlOverride w:ilvl="1">
      <w:startOverride w:val="1"/>
    </w:lvlOverride>
    <w:lvlOverride w:ilvl="2">
      <w:startOverride w:val="1"/>
    </w:lvlOverride>
  </w:num>
  <w:num w:numId="146">
    <w:abstractNumId w:val="93"/>
    <w:lvlOverride w:ilvl="0">
      <w:startOverride w:val="1"/>
    </w:lvlOverride>
    <w:lvlOverride w:ilvl="1">
      <w:startOverride w:val="1"/>
    </w:lvlOverride>
    <w:lvlOverride w:ilvl="2">
      <w:startOverride w:val="1"/>
    </w:lvlOverride>
  </w:num>
  <w:num w:numId="147">
    <w:abstractNumId w:val="93"/>
    <w:lvlOverride w:ilvl="0">
      <w:startOverride w:val="1"/>
    </w:lvlOverride>
    <w:lvlOverride w:ilvl="1">
      <w:startOverride w:val="1"/>
    </w:lvlOverride>
    <w:lvlOverride w:ilvl="2">
      <w:startOverride w:val="1"/>
    </w:lvlOverride>
  </w:num>
  <w:num w:numId="148">
    <w:abstractNumId w:val="94"/>
    <w:lvlOverride w:ilvl="0">
      <w:startOverride w:val="1"/>
    </w:lvlOverride>
    <w:lvlOverride w:ilvl="1">
      <w:startOverride w:val="1"/>
    </w:lvlOverride>
    <w:lvlOverride w:ilvl="2">
      <w:startOverride w:val="1"/>
    </w:lvlOverride>
  </w:num>
  <w:num w:numId="149">
    <w:abstractNumId w:val="93"/>
    <w:lvlOverride w:ilvl="0">
      <w:startOverride w:val="1"/>
    </w:lvlOverride>
    <w:lvlOverride w:ilvl="1">
      <w:startOverride w:val="1"/>
    </w:lvlOverride>
    <w:lvlOverride w:ilvl="2">
      <w:startOverride w:val="1"/>
    </w:lvlOverride>
  </w:num>
  <w:num w:numId="150">
    <w:abstractNumId w:val="93"/>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