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TEMATICA DE INSTRUIRE PENTRU INSTRUIREA INTRODUCTIV-GENERALĂ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Conform MISSMIG Art. 1 – 327;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PLANUL DE DESFĂȘURARE PENTRU INSTRUIREA INTRODUCTIV-GENERALĂ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1146/2006, H.G. 493/2006, H.G. 259/2022; I.P.S.S.M. Art. 1 – 287;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circulația pietonilor și circulația bicicliștilor (atât în interiorul unității,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95 – 165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166 – 185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 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186 – 202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203 – 233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234 – 253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254 – 287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la nivelul locurilor de muncă și/ sau posturilor de lucru privind acordarea, utilizarea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