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ascii="Arial" w:hAnsi="Arial" w:cs="Arial" w:eastAsia="Arial"/>
          <w:color w:val="auto"/>
          <w:sz w:val="20"/>
          <w:szCs w:val="20"/>
          <w:lang w:val="ro-RO"/>
        </w:rPr>
        <w:t xml:space="preserve">Codul penal (Legea 286/ 2009), Art. 349, 350;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3, 5, 6, Anexele 1, 2 (cu completări de mijloace de semnalizare),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O.U.G. 99/ 2000, Art. 1, 3 – 6, 8, 9;</w:t>
      </w:r>
    </w:p>
    <w:p>
      <w:pPr>
        <w:pStyle w:val="Normal"/>
        <w:widowControl/>
        <w:numPr>
          <w:ilvl w:val="0"/>
          <w:numId w:val="36"/>
        </w:numPr>
        <w:spacing w:before="0" w:after="40"/>
        <w:jc w:val="left"/>
        <w:rPr>
          <w:rFonts w:ascii="Arial" w:hAnsi="Arial" w:cs="Arial"/>
          <w:i/>
          <w:sz w:val="18"/>
          <w:szCs w:val="18"/>
          <w:lang w:val="ro-RO" w:eastAsia="ro-RO"/>
        </w:rPr>
      </w:pPr>
      <w:r>
        <w:rPr>
          <w:rFonts w:ascii="Arial" w:hAnsi="Arial" w:cs="Arial" w:eastAsia="Arial"/>
          <w:color w:val="auto"/>
          <w:sz w:val="20"/>
          <w:szCs w:val="20"/>
          <w:lang w:val="ro-RO"/>
        </w:rPr>
        <w:t xml:space="preserve">H.G. 1048/ 2006 (republicată),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ascii="Arial" w:hAnsi="Arial" w:cs="Arial" w:eastAsia="Arial"/>
          <w:color w:val="auto"/>
          <w:sz w:val="20"/>
          <w:szCs w:val="20"/>
          <w:lang w:val="ro-RO"/>
        </w:rPr>
        <w:t xml:space="preserve">Legea 95/ 2006 (republicată), Art. 92 – 94;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ascii="Arial" w:hAnsi="Arial" w:cs="Arial" w:eastAsia="Arial"/>
          <w:color w:val="auto"/>
          <w:sz w:val="20"/>
          <w:szCs w:val="20"/>
          <w:lang w:val="ro-RO"/>
        </w:rPr>
        <w:t xml:space="preserve">O.U.G. 96/ 2003, Art. 1 – 10, 12 – 21, Anexele 1, 2;</w:t>
      </w:r>
    </w:p>
    <w:p>
      <w:pPr>
        <w:pStyle w:val="Normal"/>
        <w:widowControl/>
        <w:numPr>
          <w:ilvl w:val="0"/>
          <w:numId w:val="36"/>
        </w:numPr>
        <w:spacing w:before="0" w:after="40"/>
        <w:jc w:val="left"/>
        <w:rPr>
          <w:rStyle w:val="tli1"/>
          <w:rFonts w:ascii="Arial" w:hAnsi="Arial" w:cs="Arial"/>
          <w:i/>
          <w:sz w:val="18"/>
          <w:szCs w:val="18"/>
          <w:lang w:val="ro-RO"/>
        </w:rPr>
      </w:pPr>
      <w:r>
        <w:rPr>
          <w:rFonts w:ascii="Arial" w:hAnsi="Arial" w:cs="Arial" w:eastAsia="Arial"/>
          <w:color w:val="auto"/>
          <w:sz w:val="20"/>
          <w:szCs w:val="20"/>
          <w:lang w:val="ro-RO"/>
        </w:rPr>
        <w:t xml:space="preserve">O.U.G. 158/ 2005, Art. 31;</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O.U.G. 195/ 2002 cu modificările și completările ulterioare, Art. 1, 5, 7 – 10, 20, 21, 29 – 33, 35, 36, 55 – 60, 66, 68, 70, 72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instruirea lucrătorilor în domeniul securității și sănătății în muncă – activitatea prin care lucrătorilor li se transmit cunoștințele și deprinderile necesare pentru desfășurarea activității în condiții de securitate și sănătate; cuprinde trei faze: instruirea introductiv-generală, instruirea la locul de muncă și instruirea periodică (H.G. 1425/ 2006, art. 77);</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 2006,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sportiv;</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4) Echipamentul individual de protecție trebuie utilizat atunci când riscurile nu pot fi evitate sau limitate suficient prin mijloacele tehnice de protecție colectivă ori prin măsurile, metodele sau procedurile de organizare a muncii.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11) Angajatorul informează mai întâi lucrătorul despre riscurile împotriva cărora îl protejează purtarea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12) Angajatorul asigură instruirea lucrătorului și, dacă este cazul, organizează antrenamente pentru modul de purtare 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dreptul de a constitui sau de a adera la un sindicat; m¹) dreptul de a solicita trecerea pe un post vacant care îi asigură condiții de muncă mai favorabile dacă și-a încheiat perioada de probă și are o vechime de cel puțin 6 luni la același angajator;</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drepturi prevăzute de lege sau de contractele colective de muncă aplicabile.</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obligația de a respecta secretul de serviciu;</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obligații prevăzute de lege sau de contractele colective de muncă aplicabile.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să stabilească atribuțiile corespunzătoare fiecărui salariat, în condițiile legii;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constate săvârșirea abaterilor disciplinare și să aplice sancțiunile corespunzătoare, potrivit legii, contractului colectiv de muncă aplicabil și regulamentului intern;</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stabilească obiectivele de performanță individuală, precum și criteriile de evaluare a realizării acestora.</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Normal"/>
        <w:widowControl/>
        <w:numPr>
          <w:ilvl w:val="0"/>
          <w:numId w:val="32"/>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răspundă motivat, în scris, în termen de 30 de zile de la primirea solicitării salariatului, prevăzută la art. 39 alin. (1) lit. m¹).</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3) (1)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6) (1)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10) (1) În cazul în care angajatorul, din motive justificate în mod obiectiv, nu poate să îndeplinească obligația prevăzută la art. 9 alin. (2) 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 2005 – Art. 31) (1) Dreptul la concediul de risc maternal se acordă în condițiile prevăzute de Ordonanța de urgență a Guvernului nr. 96/ 2003 privind protecția maternității la locurile de muncă, aprobată cu modificări și completări prin Legea nr. 25/ 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 2005 reprezintă 75% din baza de calcul stabilită conform prevederilor art. 10 din O.U.G. 158/ 2005.</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20) (1) Salariatele prevăzute la art. 2 lit. c) – e) din O.U.G. 96/ 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 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 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 2003 se aplică în mod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(1) Toate măsurile care se iau în domeniul securității și sănătății în muncă au la bază cel puțin o cerință legală, iar încălcarea acestor cerințe poate constitui contravenție, sancționată cu amendă, sau, atunci când creează un pericol iminent de producere a unui accident de muncă sau de îmbolnăvire profesională, infracțiune, pedepsită potrivit Codului penal cu închisoare de până la 3 ani sau cu amendă.</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care se pot lua pentru diminuarea sau înlăturarea pericolelor de accidentare sunt tehnice, organizatorice și igienico-sanitare. Neluarea sau nerespectarea acestor măsuri, atunci când creează un pericol iminent de producere a unui accident de muncă sau de îmbolnăvire profesională, constituie infracțiune potrivit Codului penal, care prevede următoarele: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Codul penal – Art. 349) Neluarea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Neluarea vreuneia dintre măsurile legale de securitate și sănătate în muncă de către persoana care avea îndatorirea de a lua aceste măsuri, dacă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Fapta prevăzută în alin. (1) săvârșită din culpă se pedepsește cu închisoare de la 3 luni la un an sau cu amendă.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Codul penal – Art. 350) Nerespectarea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Nerespectarea de către orice persoană a obligațiilor și a măsurilor stabilite cu privire la securitatea și sănătatea în muncă, dacă prin aceasta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Cu aceeași pedeapsă se sancționează repunerea în funcțiune a instalațiilor, mașinilor și utilajelor, anterior eliminării tuturor deficiențelor pentru care s-a luat măsura opririi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Faptele prevăzute în alin. (1) și alin. (2) săvârșite din culpă se pedepsesc cu închisoare de la 3 luni la un an sau cu amendă.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Răspunderea juridică pentru încălcarea legislației în domeniul securității și sănătății în muncă poate privi atât angajatorul, cât și lucrătorii și poate fi, după caz:</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disciplinară, pentru lucrătorii care încalcă regulile de securitate și sănătate în muncă, potrivit Codului muncii, regulamentului intern și contractului colectiv de muncă aplicabil;</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patrimonială, pentru pagubele produse, potrivit Codului muncii și legii civile;</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contravențională: contravențiile prevăzute de Legea 319/ 2006, Capitolul IX (art. 39 – 43), se sancționează cu amenzi cuprinse între 2.000 lei și 10.000 lei, care se aplică angajatorilor; constatarea contravențiilor și aplicarea amenzilor se fac de către inspectorii de muncă, iar pentru unele fapte și de către inspectorii sanitari;</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penală: infracțiunile prevăzute inițial de Legea 319/ 2006, Capitolul VIII (art. 37 – 38), au fost abrogate de Legea 187/ 2012 începând cu 1 februarie 2014, iar faptele respective sunt în prezent infracțiuni prevăzute de Codul penal, la art. 349 și 350, și se pedepsesc cu închisoare sau cu amendă.</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prestigiului unității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unității.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Numărul lucrătorilor desemnați să acorde primul ajutor se stabilește de angajator, cu consultarea serviciului de prevenire și protecție, potrivit mărimii și riscurilor specifice unității, și se consemnează în instrucțiunile proprii sau în regulamentul intern.</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(5) </w:t>
      </w:r>
      <w:r>
        <w:rPr>
          <w:rFonts w:ascii="Arial" w:hAnsi="Arial" w:cs="Arial" w:eastAsia="Arial"/>
          <w:color w:val="auto"/>
          <w:sz w:val="20"/>
          <w:szCs w:val="20"/>
          <w:lang w:val="ro-RO"/>
        </w:rPr>
        <w:t xml:space="preserve">Numărul și repartizarea lucrătorilor desemnați se stabilesc astfel încât un lucrător instruit în acordarea primului ajutor să poată ajunge rapid la fiecare loc de muncă și în fiecare schimb, ținând seama de numărul lucrătorilor, de distanțe și de riscuri.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(6) </w:t>
      </w: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(8) </w:t>
      </w:r>
      <w:r>
        <w:rPr>
          <w:rFonts w:ascii="Arial" w:hAnsi="Arial" w:cs="Arial" w:eastAsia="Arial"/>
          <w:color w:val="auto"/>
          <w:sz w:val="20"/>
          <w:szCs w:val="20"/>
          <w:lang w:val="ro-RO"/>
        </w:rPr>
        <w:t xml:space="preserve">Mijloacele de comunicare cu serviciile de urgență trebuie să fie în permanență în stare de funcționare; orice defecțiune se remediază de urgență, iar până la remediere se folosesc soluții alternative (de exemplu, telefonul mobil).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(9) </w:t>
      </w:r>
      <w:r>
        <w:rPr>
          <w:rFonts w:ascii="Arial" w:hAnsi="Arial" w:cs="Arial" w:eastAsia="Arial"/>
          <w:color w:val="auto"/>
          <w:sz w:val="20"/>
          <w:szCs w:val="20"/>
          <w:lang w:val="ro-RO"/>
        </w:rPr>
        <w:t xml:space="preserve">Fiecare loc de muncă va fi dotat cu cel puțin o trusă de prim ajutor, în numărul și cu conținutul prevăzute de Ordinul 427/ 2002 (redate în prezentul material).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(10) </w:t>
      </w:r>
      <w:r>
        <w:rPr>
          <w:rFonts w:ascii="Arial" w:hAnsi="Arial" w:cs="Arial" w:eastAsia="Arial"/>
          <w:color w:val="auto"/>
          <w:sz w:val="20"/>
          <w:szCs w:val="20"/>
          <w:lang w:val="ro-RO"/>
        </w:rPr>
        <w:t xml:space="preserve">Lucrătorii desemnați să acorde primul ajutor verifică periodic, la intervalul stabilit de angajator, și după fiecare folosire, dacă trusele sunt complete și dacă materialele nu au expirat.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(12) </w:t>
      </w: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Potrivit Legii 95/ 2006, republicată, primul ajutor de bază poate fi acordat de orice persoană instruită în acest sens sau, la indicațiile dispecerului de urgență, chiar de o persoană fără instruire. Persoanele fără pregătire medicală care acordă primul ajutor de bază cu bună-credință, cu intenția de a salva viața sau sănătatea unei persoane, nu răspund penal sau civil.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unitate, primul ajutor este asigurat de lucrătorii desemnați și instruiți în acest scop. Orice lucrător care este martor la un accident sau la o îmbolnăvire bruscă:</w:t>
      </w:r>
    </w:p>
    <w:p>
      <w:pPr>
        <w:pStyle w:val="Normal"/>
        <w:widowControl/>
        <w:numPr>
          <w:ilvl w:val="0"/>
          <w:numId w:val="7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sună la 112 sau se asigură că s-a sunat deja;</w:t>
      </w:r>
    </w:p>
    <w:p>
      <w:pPr>
        <w:pStyle w:val="Normal"/>
        <w:widowControl/>
        <w:numPr>
          <w:ilvl w:val="0"/>
          <w:numId w:val="7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anunță lucrătorul desemnat să acorde primul ajutor și conducătorul locului de muncă;</w:t>
      </w:r>
    </w:p>
    <w:p>
      <w:pPr>
        <w:pStyle w:val="Normal"/>
        <w:widowControl/>
        <w:numPr>
          <w:ilvl w:val="0"/>
          <w:numId w:val="7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ajută victima în limita cunoștințelor sale și urmează indicațiile dispecerului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Modul detaliat de acordare a primului ajutor este prevăzut în instrucțiunile proprii de securitate și sănătate în muncă ale unității.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 evaluarea situației (ce s-a întâmplat și dacă mai există un pericol), protejarea victimei și a lui însuși (înlăturarea pericolului fără a se expune), examinarea victimei, alertarea prin 112 și acordarea primului ajutor, urmată de supravegherea victimei până la sosirea echipajului de urgență. Salvatorul nu trebuie să devină a doua victimă: nu intră în zone cu fum, gaze, curent electric, apă sau pericol de prăbușire fără echipament și fără pregătire.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 locul exact al accidentului, ce s-a întâmplat, numărul victimelor și starea lor, pericolele care persistă și numărul de telefon de la care se sună. Salvatorul nu închide primul, răspunde la întrebările dispecerului și îi urmează indicațiile, cu difuzorul telefonului pornit, ca să aibă mâinile libere.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scutură ușor victima de umeri și o întreabă tare dacă îl aude; dacă nu răspunde, cere ajutor și sună imediat la 112;</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oprește imediat orice sângerare abundentă;</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deschide căile respiratorii prin înclinarea ușoară a capului pe spate și ridicarea bărbiei;</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verifică, timp de cel mult 10 secunde, dacă victima respiră normal; respirația rară, zgomotoasă sau sub formă de gâfâieli nu este o respirație normală.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care nu răspunde, dar respiră normal, este așezată în poziția laterală de siguranță (culcată pe o parte, cu piciorul de deasupra îndoit și cu capul ușor înclinat pe spate, ca să respire liber), dacă nu se suspectează o leziune a coloanei, și i se supraveghează continuu respirația. Victima care nu răspunde și nu respiră normal este în stop cardiac și are nevoie imediat de resuscitare.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Resuscitarea cardio-pulmonară la adult se face astfel:</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culcată pe spate, pe o suprafață tare;</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așază podul unei palme pe jumătatea de jos a sternului („în centrul pieptului") și cealaltă palmă peste prima și, cu brațele întinse, apasă pieptul cu 5–6 cm, cu un ritm de 100–120 de compresii pe minut, lăsând pieptul să revină complet după fiecare compresie;</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instruit în acest sens alternează 30 de compresii cu 2 ventilații (30:2); salvatorul care nu este instruit sau nu dorește să facă ventilații execută compresii continue, fără întrerupere;</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resuscitarea continuă până când victima își revine, până când echipajul de urgență preia victima sau până când salvatorul este epuizat.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Dispecerul 112 poate ghida resuscitarea prin telefon.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Imediat ce este adus, se pornește, electrozii se lipesc pe pieptul gol al victimei, ca în desenul de pe ei, și se urmează instrucțiunile vocale ale aparatului. Nimeni nu atinge victima cât timp aparatul analizează ritmul inimii sau administrează șocul; după aceea, compresiile se reiau imediat. Fiecare lucrător trebuie să știe unde se află cel mai apropiat defibrilator.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Persoanei care s-a înecat cu mâncare sau cu un obiect și nu mai poate tuși i se aplică până la 5 lovituri puternice între omoplați și apoi, dacă este nevoie, până la 5 compresii abdominale, alternativ, până la eliberarea căilor respiratorii. Dacă persoana nu mai răspunde, se sună la 112 și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se oprește prin apăsare directă și fermă pe rană, cu o compresă sterilă sau cu un material curat, menținută fără întrerupere; după oprirea sângerării se aplică un pansament compresiv. Garoul se folosește numai la braț sau la picior, pentru o sângerare care pune viața în pericol și nu se oprește prin apăsare directă, și numai de persoane instruite să îl aplice; odată aplicat, garoul nu se mai slăbește.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Arsurile produse de căldură se răcesc imediat cu apă curentă rece sau răcoroasă, cel puțin 20 de minute, și se acoperă apoi lejer cu o compresă sterilă sau cu folie alimentară curată. Pielea atinsă de o substanță chimică se spală imediat cu multă apă, iar ochii stropiți cu o substanță chimică se spală continuu, 10–20 de minute, cu multă apă curată. Pe arsuri nu se pun gheață, creme sau alte substanțe, iar bășicile nu se sparg.</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face următoarele: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expune unui pericol fără echipament și fără pregătire;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mută victima decât dacă există un pericol imediat sau dacă mutarea este necesară pentru resuscitare;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nimic de mâncat sau de băut unei victime care nu este complet conștientă;</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obiectele înfipte în corp, nu îndreaptă fracturile și nu pune la loc luxațiile;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lasă victima nesupravegheată până la sosirea echipajului de urgență.</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5">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6">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7">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lvlOverride w:ilvl="0">
      <w:startOverride w:val="1"/>
    </w:lvlOverride>
    <w:lvlOverride w:ilvl="1">
      <w:startOverride w:val="1"/>
    </w:lvlOverride>
    <w:lvlOverride w:ilvl="2">
      <w:startOverride w:val="1"/>
    </w:lvlOverride>
  </w:num>
  <w:num w:numId="76">
    <w:abstractNumId w:val="75"/>
    <w:lvlOverride w:ilvl="0">
      <w:startOverride w:val="1"/>
    </w:lvlOverride>
    <w:lvlOverride w:ilvl="1">
      <w:startOverride w:val="1"/>
    </w:lvlOverride>
    <w:lvlOverride w:ilvl="2">
      <w:startOverride w:val="1"/>
    </w:lvlOverride>
  </w:num>
  <w:num w:numId="77">
    <w:abstractNumId w:val="75"/>
    <w:lvlOverride w:ilvl="0">
      <w:startOverride w:val="1"/>
    </w:lvlOverride>
    <w:lvlOverride w:ilvl="1">
      <w:startOverride w:val="1"/>
    </w:lvlOverride>
    <w:lvlOverride w:ilvl="2">
      <w:startOverride w:val="1"/>
    </w:lvlOverride>
  </w:num>
  <w:num w:numId="78">
    <w:abstractNumId w:val="76"/>
    <w:lvlOverride w:ilvl="0">
      <w:startOverride w:val="1"/>
    </w:lvlOverride>
    <w:lvlOverride w:ilvl="1">
      <w:startOverride w:val="1"/>
    </w:lvlOverride>
    <w:lvlOverride w:ilvl="2">
      <w:startOverride w:val="1"/>
    </w:lvlOverride>
  </w:num>
  <w:num w:numId="79">
    <w:abstractNumId w:val="77"/>
    <w:lvlOverride w:ilvl="0">
      <w:startOverride w:val="1"/>
    </w:lvlOverride>
    <w:lvlOverride w:ilvl="1">
      <w:startOverride w:val="1"/>
    </w:lvlOverride>
    <w:lvlOverride w:ilvl="2">
      <w:startOverride w:val="1"/>
    </w:lvlOverride>
  </w:num>
  <w:num w:numId="80">
    <w:abstractNumId w:val="77"/>
    <w:lvlOverride w:ilvl="0">
      <w:startOverride w:val="1"/>
    </w:lvlOverride>
    <w:lvlOverride w:ilvl="1">
      <w:startOverride w:val="1"/>
    </w:lvlOverride>
    <w:lvlOverride w:ilvl="2">
      <w:startOverride w:val="1"/>
    </w:lvlOverride>
  </w:num>
  <w:num w:numId="81">
    <w:abstractNumId w:val="77"/>
    <w:lvlOverride w:ilvl="0">
      <w:startOverride w:val="1"/>
    </w:lvlOverride>
    <w:lvlOverride w:ilvl="1">
      <w:startOverride w:val="1"/>
    </w:lvlOverride>
    <w:lvlOverride w:ilvl="2">
      <w:startOverride w:val="1"/>
    </w:lvlOverride>
  </w:num>
  <w:num w:numId="82">
    <w:abstractNumId w:val="77"/>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