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7"/>
        <w:keepNext w:val="true"/>
        <w:widowControl/>
        <w:numPr>
          <w:ilvl w:val="6"/>
          <w:numId w:val="1"/>
        </w:numPr>
        <w:spacing w:before="0" w:after="0"/>
        <w:ind w:hanging="0" w:lef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4"/>
          <w:szCs w:val="20"/>
          <w:lang w:val="ro-RO"/>
        </w:rPr>
        <w:t>DECIZIA</w:t>
      </w:r>
    </w:p>
    <w:p>
      <w:pPr>
        <w:pStyle w:val="Heading7"/>
        <w:widowControl/>
        <w:numPr>
          <w:ilvl w:val="6"/>
          <w:numId w:val="1"/>
        </w:numPr>
        <w:spacing w:before="0" w:after="240"/>
        <w:ind w:hanging="0" w:lef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Nr. {{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fire.d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ecisionNumbers.smoking}} din {{issueDate}}</w:t>
      </w:r>
    </w:p>
    <w:p>
      <w:pPr>
        <w:pStyle w:val="Normal"/>
        <w:widowControl/>
        <w:spacing w:before="0" w:after="120"/>
        <w:ind w:hanging="0" w:right="0"/>
        <w:jc w:val="left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În baza prevederilor Legii 307/2006 – art. 19 alin. (1) lit. a), al</w:t>
      </w:r>
      <w:r>
        <w:rPr>
          <w:rFonts w:eastAsia="Arial" w:cs="Arial" w:ascii="Arial" w:hAnsi="Arial"/>
          <w:bCs/>
          <w:color w:val="auto"/>
          <w:spacing w:val="0"/>
          <w:w w:val="100"/>
          <w:sz w:val="20"/>
          <w:szCs w:val="20"/>
          <w:lang w:val="ro-RO"/>
        </w:rPr>
        <w:t>e OMAI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163/2007 – art. 5 lit. b), art. 17 lit. c) și art. 106 și ale Legii 349/2002 – art. 3 alin. (1), {{client.representati</w:t>
      </w:r>
      <w:r>
        <w:rPr>
          <w:rStyle w:val="do1"/>
          <w:rFonts w:eastAsia="Arial" w:cs="Arial" w:ascii="Arial" w:hAnsi="Arial"/>
          <w:b w:val="false"/>
          <w:color w:val="auto"/>
          <w:spacing w:val="0"/>
          <w:w w:val="100"/>
          <w:sz w:val="20"/>
          <w:szCs w:val="20"/>
          <w:lang w:val="ro-RO"/>
        </w:rPr>
        <w:t>veName}}, în calitate de {{fire.representativeRol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eRunOn}} în cadrul {{client.legalName}}, începând cu 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data de {{issueDate}},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DECIDE:</w:t>
      </w:r>
    </w:p>
    <w:p>
      <w:pPr>
        <w:pStyle w:val="Normal"/>
        <w:keepNext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Modul de reglementare a fumatului în spațiile {{client.legalName}}, astfel: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cadrul {{client.legalName}} se vor respecta regulile privind fumatul stabilite prin prezenta decizie. De supravegherea respectării acestora răspunde {{fire.coordinator.name}}, având funcția de {{fire.coordinator.jobTitleRunOn}}, coordonator privind apărarea împotriva incendiilor, iar la fiecare loc de muncă, conducătorul locului de muncă desemnat prin Decizia nr. {{fire.decisionNumbers.organization}}.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Conform Legii 349/2002 – art. 3 alin. (1), fumatul este interzis în toate spațiile închise de la locul de muncă.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{{#fire.smoking.forbiddenEverywhere}}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Fumatul este interzis în toate spațiile și pe întreaga incintă a {{client.legalName}}, atât în interiorul, cât și în exteriorul clădirilor.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{{/fire.smoking.forbiddenEverywhere}}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{{#fire.smoking.designatedPlaces}}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 xml:space="preserve">Fumatul este permis numai în locurile special amenajate în exteriorul clădirilor{{#fire.smoking.place}}, {{fire.smoking.place}}{{/fire.smoking.place}}, marcate cu indicatorul „LOC PENTRU FUMAT” (OMAI 163/2007 – art. 106 alin. (5)). Locurile pentru fumat sunt prevăzute cu scrumiere sau vase cu apă, nisip sau pământ, cu instrucțiuni afișate, cuprinzând măsuri de prevenire a incendiilor și reguli de comportare în caz de incendiu, și cu mijloace tehnice de apărare împotriva incendiilor (OMAI 163/2007 – art. 106 alin. (7)). În afara acestor locuri, fumatul este interzis în toate spațiile și pe întreaga incintă a {{client.legalName}}.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Locurile pentru fumat stabilite în exteriorul clădirilor vor fi amplasate la o distanță mai mare de 40 m față de locurile în care există pericol de explozie: gaze și lichide combustibile, explozivi, vapori inflamabili etc., 10 m față de locurile în care există materiale solide combustibile: lemn, textile, hârtie, carton asfaltat, bitum, și 50 m față de culturile de cereale păioase în perioada coacerii și recoltării sau de zonele împădurite (OMAI 163/2007 – art. 106 alin. (6)).</w:t>
      </w:r>
    </w:p>
    <w:p>
      <w:pPr>
        <w:pStyle w:val="Normal"/>
        <w:keepNext w:val="false"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locurile în care este admis fumatul, se interzice golirea scrumierelor și aruncarea mucurilor de țigări în coșurile de hârtii.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{{/fire.smoking.designatedPlaces}}</w:t>
      </w:r>
    </w:p>
    <w:p>
      <w:pPr>
        <w:pStyle w:val="Normal"/>
        <w:keepNext/>
        <w:pageBreakBefore w:val="false"/>
        <w:widowControl/>
        <w:numPr>
          <w:ilvl w:val="0"/>
          <w:numId w:val="3"/>
        </w:numPr>
        <w:spacing w:before="120" w:after="60"/>
        <w:ind w:hanging="0" w:left="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>În cadrul {{client.legalName}} se vor respecta, de asemenea, următoarele reguli: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a)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salariații care nu respectă regulile stabilite pentru fumat vor suporta consecințele prevăzute de legislația în vigoare;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b)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la încheierea programului de lucru, conducătorii locurilor de muncă vor verifica spațiile pe care le au în responsabilitate, pentru depistarea și înlăturarea eventualelor cauze de incendiu;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c)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salariații {{client.legalName}} se vor asigura zilnic de excluderea oricărei posibilități de provocare a unor incendii;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d)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la terminarea programului se va scoate de sub tensiune orice aparat electric;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4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e)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în perioada anotimpului rece, se interzice folosirea aparatelor sau dispozitivelor de încălzit cu flacără deschisă în interiorul unității;</w:t>
      </w:r>
    </w:p>
    <w:p>
      <w:pPr>
        <w:pStyle w:val="Normal"/>
        <w:keepNext w:val="false"/>
        <w:pageBreakBefore w:val="false"/>
        <w:widowControl/>
        <w:numPr>
          <w:ilvl w:val="0"/>
          <w:numId w:val="0"/>
        </w:numPr>
        <w:spacing w:before="0" w:after="120"/>
        <w:ind w:hanging="360" w:left="720"/>
        <w:jc w:val="left"/>
        <w:rPr>
          <w:rFonts w:ascii="Arial" w:hAnsi="Arial" w:cs="Arial"/>
          <w:bCs/>
          <w:sz w:val="20"/>
          <w:szCs w:val="20"/>
        </w:rPr>
      </w:pPr>
      <w:r>
        <w:rPr>
          <w:rStyle w:val="PageNumber"/>
          <w:rFonts w:eastAsia="Arial" w:cs="Arial" w:ascii="Arial" w:hAnsi="Arial"/>
          <w:b/>
          <w:bCs/>
          <w:i w:val="false"/>
          <w:color w:val="auto"/>
          <w:spacing w:val="0"/>
          <w:w w:val="100"/>
          <w:sz w:val="20"/>
          <w:szCs w:val="20"/>
          <w:lang w:val="ro-RO"/>
        </w:rPr>
        <w:t>f)</w:t>
      </w:r>
      <w:r>
        <w:rPr>
          <w:rStyle w:val="PageNumber"/>
          <w:rFonts w:eastAsia="Arial" w:cs="Arial" w:ascii="Arial" w:hAnsi="Arial"/>
          <w:b w:val="false"/>
          <w:bCs/>
          <w:i w:val="false"/>
          <w:color w:val="auto"/>
          <w:spacing w:val="0"/>
          <w:w w:val="100"/>
          <w:sz w:val="20"/>
          <w:szCs w:val="20"/>
          <w:lang w:val="ro-RO"/>
        </w:rPr>
        <w:tab/>
        <w:t>coordonatorul privind apărarea împotriva incendiilor va verifica periodic locurile de muncă, pentru depistarea și înlăturarea eventualelor cauze de incendiu.</w:t>
      </w:r>
    </w:p>
    <w:p>
      <w:pPr>
        <w:pStyle w:val="Normal"/>
        <w:keepNext w:val="true"/>
        <w:widowControl/>
        <w:spacing w:before="480" w:after="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</w:t>
      </w:r>
      <w:r>
        <w:rPr>
          <w:rStyle w:val="PageNumber"/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ent.legalName}}</w:t>
      </w:r>
    </w:p>
    <w:p>
      <w:pPr>
        <w:pStyle w:val="Normal"/>
        <w:keepNext w:val="true"/>
        <w:widowControl/>
        <w:spacing w:before="0" w:after="240"/>
        <w:ind w:hanging="0" w:left="0" w:right="0"/>
        <w:jc w:val="center"/>
        <w:rPr>
          <w:rFonts w:ascii="Arial" w:hAnsi="Arial" w:cs="Arial"/>
          <w:sz w:val="20"/>
          <w:szCs w:val="20"/>
        </w:rPr>
      </w:pP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{{client.representativeRole}}</w:t>
      </w:r>
    </w:p>
    <w:p>
      <w:pPr>
        <w:pStyle w:val="Normal"/>
        <w:keepNext w:val="false"/>
        <w:widowControl/>
        <w:spacing w:before="0" w:after="120"/>
        <w:ind w:hanging="0" w:left="0" w:right="0"/>
        <w:jc w:val="center"/>
        <w:rPr>
          <w:rFonts w:ascii="Arial" w:hAnsi="Arial" w:cs="Arial"/>
          <w:b/>
          <w:sz w:val="20"/>
          <w:szCs w:val="20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{{client.representativeName}}</w:t>
      </w:r>
    </w:p>
    <w:p>
      <w:pPr>
        <w:pStyle w:val="Normal"/>
        <w:keepNext w:val="true"/>
        <w:widowControl/>
        <w:spacing w:before="240" w:after="120"/>
        <w:ind w:hanging="0"/>
        <w:jc w:val="center"/>
        <w:rPr>
          <w:rFonts w:ascii="Arial" w:hAnsi="Arial" w:cs="Arial"/>
          <w:b/>
          <w:sz w:val="20"/>
          <w:szCs w:val="20"/>
          <w:lang w:val="it-CH"/>
        </w:rPr>
      </w:pPr>
      <w:r>
        <w:rPr>
          <w:rFonts w:eastAsia="Arial" w:cs="Arial" w:ascii="Arial" w:hAnsi="Arial"/>
          <w:b/>
          <w:color w:val="auto"/>
          <w:spacing w:val="0"/>
          <w:w w:val="100"/>
          <w:sz w:val="20"/>
          <w:szCs w:val="20"/>
          <w:lang w:val="ro-RO"/>
        </w:rPr>
        <w:t>PROCES-VERBAL DE LUARE DE CUNOȘTINȚĂ</w:t>
      </w:r>
    </w:p>
    <w:p>
      <w:pPr>
        <w:pStyle w:val="Normal"/>
        <w:keepNext w:val="true"/>
        <w:widowControl/>
        <w:spacing w:before="0" w:after="120"/>
        <w:ind w:hanging="0" w:right="0"/>
        <w:jc w:val="left"/>
        <w:rPr>
          <w:rStyle w:val="tpa1"/>
          <w:rFonts w:ascii="Arial" w:hAnsi="Arial" w:cs="Arial"/>
          <w:sz w:val="20"/>
          <w:szCs w:val="20"/>
          <w:lang w:val="it-CH"/>
        </w:rPr>
      </w:pP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Prin semnătura din tabelul nominal de mai jos, fiecare persoană des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mnată confirmă că a luat cunoștință de prezenta decizie și se obligă să respecte întocmai obligațiile, atribuțiile și răspunderile ce reies din decizia {{cli</w:t>
      </w:r>
      <w:r>
        <w:rPr>
          <w:rStyle w:val="PageNumber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ent.legalName}}</w:t>
      </w:r>
      <w:r>
        <w:rPr>
          <w:rStyle w:val="tpa1"/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 xml:space="preserve"> nr. {{fire.deci</w:t>
      </w:r>
      <w:r>
        <w:rPr>
          <w:rFonts w:eastAsia="Arial" w:cs="Arial" w:ascii="Arial" w:hAnsi="Arial"/>
          <w:color w:val="auto"/>
          <w:spacing w:val="0"/>
          <w:w w:val="100"/>
          <w:sz w:val="20"/>
          <w:szCs w:val="20"/>
          <w:lang w:val="ro-RO"/>
        </w:rPr>
        <w:t>sionNumbers.smoking}} din {{issueDate}}.</w:t>
      </w:r>
    </w:p>
    <w:tbl>
      <w:tblPr>
        <w:tblW w:w="5000" w:type="pct"/>
        <w:jc w:val="left"/>
        <w:tblInd w:w="0" w:type="dxa"/>
        <w:tblLayout w:type="fixed"/>
        <w:tblCellMar>
          <w:top w:w="17" w:type="dxa"/>
          <w:left w:w="108" w:type="dxa"/>
          <w:bottom w:w="17" w:type="dxa"/>
          <w:right w:w="108" w:type="dxa"/>
        </w:tblCellMar>
      </w:tblPr>
      <w:tblGrid>
        <w:gridCol w:w="620"/>
        <w:gridCol w:w="3459"/>
        <w:gridCol w:w="2075"/>
        <w:gridCol w:w="1298"/>
        <w:gridCol w:w="1903"/>
      </w:tblGrid>
      <w:tr>
        <w:trPr>
          <w:tblHeader w:val="true"/>
          <w:trHeight w:val="7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keepNext w:val="true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Nr. crt.</w:t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Numele și prenumele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Funcția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Data primirii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3F3F3" w:val="clear"/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  <w:t>Semnătura de primire</w:t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keepNext w:val="true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{{#fire.designated}}{{name}}</w:t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{{jobTitle}}</w:t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  <w:t>{{issueDate}}{{/fire.designated}}</w:t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  <w:tr>
        <w:trPr>
          <w:trHeight w:val="290" w:hRule="atLeast"/>
        </w:trPr>
        <w:tc>
          <w:tcPr>
            <w:tcW w:w="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numPr>
                <w:ilvl w:val="0"/>
                <w:numId w:val="2"/>
              </w:numPr>
              <w:snapToGrid w:val="false"/>
              <w:spacing w:before="0" w:after="0"/>
              <w:ind w:hanging="360" w:left="360" w:right="-108"/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eastAsia="Arial" w:cs="Arial" w:ascii="Arial" w:hAnsi="Arial"/>
                <w:b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345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20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29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widowControl/>
              <w:snapToGrid w:val="false"/>
              <w:spacing w:before="0" w:after="0"/>
              <w:jc w:val="center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  <w:tc>
          <w:tcPr>
            <w:tcW w:w="190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Normal"/>
              <w:widowControl/>
              <w:snapToGrid w:val="false"/>
              <w:spacing w:before="0" w:after="0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eastAsia="Arial" w:cs="Arial" w:ascii="Arial" w:hAnsi="Arial"/>
                <w:color w:val="auto"/>
                <w:spacing w:val="0"/>
                <w:w w:val="100"/>
                <w:sz w:val="20"/>
                <w:szCs w:val="20"/>
                <w:lang w:val="ro-RO"/>
              </w:rPr>
            </w:r>
          </w:p>
        </w:tc>
      </w:tr>
    </w:tbl>
    <w:p>
      <w:pPr>
        <w:pStyle w:val="Normal"/>
        <w:widowControl/>
        <w:spacing w:before="0" w:after="0"/>
        <w:ind w:hanging="0"/>
        <w:jc w:val="left"/>
        <w:rPr>
          <w:rStyle w:val="tal1"/>
          <w:rFonts w:ascii="Arial" w:hAnsi="Arial" w:cs="Arial"/>
          <w:color w:val="auto"/>
          <w:sz w:val="2"/>
          <w:szCs w:val="20"/>
          <w:lang w:val="ro-RO"/>
        </w:rPr>
      </w:pPr>
      <w:r>
        <w:rPr>
          <w:rFonts w:cs="Arial" w:ascii="Arial" w:hAnsi="Arial"/>
          <w:sz w:val="20"/>
          <w:szCs w:val="20"/>
        </w:rPr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417" w:right="1134" w:gutter="0" w:header="0" w:top="1134" w:footer="680" w:bottom="1134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Times New Roman">
    <w:charset w:val="01"/>
    <w:family w:val="roman"/>
    <w:pitch w:val="variable"/>
  </w:font>
  <w:font w:name="Arial">
    <w:charset w:val="01"/>
    <w:family w:val="swiss"/>
    <w:pitch w:val="variable"/>
  </w:font>
  <w:font w:name="Wingdings">
    <w:charset w:val="02"/>
    <w:family w:val="roman"/>
    <w:pitch w:val="variable"/>
  </w:font>
  <w:font w:name="Arial"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swiss"/>
    <w:pitch w:val="variable"/>
  </w:font>
  <w:font w:name="Tahoma">
    <w:charset w:val="01"/>
    <w:family w:val="swiss"/>
    <w:pitch w:val="variable"/>
  </w:font>
  <w:font w:name="Courier New">
    <w:charset w:val="0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spacing w:before="60" w:after="0"/>
      <w:ind w:hanging="0" w:left="0" w:right="0"/>
      <w:jc w:val="center"/>
      <w:rPr>
        <w:b/>
        <w:bCs/>
        <w:color w:val="7A7A7A"/>
        <w:sz w:val="15"/>
        <w:szCs w:val="15"/>
      </w:rPr>
    </w:pPr>
    <w:r>
      <w:rPr>
        <w:rFonts w:eastAsia="Arial" w:cs="Arial" w:ascii="Arial" w:hAnsi="Arial"/>
        <w:b w:val="false"/>
        <w:bCs/>
        <w:color w:val="7A7A7A"/>
        <w:spacing w:val="0"/>
        <w:w w:val="100"/>
        <w:sz w:val="15"/>
        <w:szCs w:val="15"/>
        <w:lang w:val="ro-RO"/>
      </w:rPr>
      <w:t>{{#branding}}Document generat cu SSM Ușor · ssmusor.ro{{/branding}}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decimal"/>
      <w:suff w:val="space"/>
      <w:lvlText w:val="Art. %1."/>
      <w:lvlJc w:val="left"/>
      <w:pPr>
        <w:tabs>
          <w:tab w:val="num" w:pos="0"/>
        </w:tabs>
        <w:ind w:left="0" w:hanging="0"/>
      </w:pPr>
      <w:rPr>
        <w:rFonts w:ascii="Arial" w:hAnsi="Arial"/>
        <w:b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doNotBreakWrappedTables/>
    <w:compatSetting w:name="compatibilityMode" w:uri="http://schemas.microsoft.com/office/word" w:val="1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pPr>
      <w:widowControl/>
      <w:suppressAutoHyphens w:val="true"/>
      <w:bidi w:val="0"/>
      <w:spacing w:before="0" w:after="0"/>
      <w:jc w:val="left"/>
    </w:pPr>
    <w:rPr>
      <w:rFonts w:ascii="Times New Roman" w:hAnsi="Times New Roman" w:eastAsia="Times New Roman" w:cs="Times New Roman"/>
      <w:color w:val="auto"/>
      <w:kern w:val="0"/>
      <w:sz w:val="24"/>
      <w:szCs w:val="24"/>
      <w:lang w:val="ro-RO" w:eastAsia="zh-CN" w:bidi="ar-SA"/>
    </w:rPr>
  </w:style>
  <w:style w:type="paragraph" w:styleId="Heading1">
    <w:name w:val="heading 1"/>
    <w:basedOn w:val="Normal"/>
    <w:next w:val="Normal"/>
    <w:pPr>
      <w:keepNext w:val="true"/>
      <w:numPr>
        <w:ilvl w:val="0"/>
        <w:numId w:val="1"/>
      </w:numPr>
      <w:jc w:val="center"/>
      <w:outlineLvl w:val="0"/>
    </w:pPr>
    <w:rPr>
      <w:b/>
      <w:bCs/>
      <w:sz w:val="32"/>
      <w:u w:val="single"/>
    </w:rPr>
  </w:style>
  <w:style w:type="paragraph" w:styleId="Heading2">
    <w:name w:val="heading 2"/>
    <w:basedOn w:val="Normal"/>
    <w:next w:val="Normal"/>
    <w:pPr>
      <w:keepNext w:val="true"/>
      <w:numPr>
        <w:ilvl w:val="1"/>
        <w:numId w:val="1"/>
      </w:numPr>
      <w:jc w:val="center"/>
      <w:outlineLvl w:val="1"/>
    </w:pPr>
    <w:rPr>
      <w:b/>
      <w:bCs/>
      <w:sz w:val="36"/>
    </w:rPr>
  </w:style>
  <w:style w:type="paragraph" w:styleId="Heading3">
    <w:name w:val="heading 3"/>
    <w:basedOn w:val="Normal"/>
    <w:next w:val="Normal"/>
    <w:pPr>
      <w:keepNext w:val="true"/>
      <w:numPr>
        <w:ilvl w:val="2"/>
        <w:numId w:val="1"/>
      </w:numPr>
      <w:ind w:hanging="0" w:left="1140" w:right="0"/>
      <w:outlineLvl w:val="2"/>
    </w:pPr>
    <w:rPr>
      <w:b/>
      <w:bCs/>
    </w:rPr>
  </w:style>
  <w:style w:type="paragraph" w:styleId="Heading4">
    <w:name w:val="heading 4"/>
    <w:basedOn w:val="Normal"/>
    <w:next w:val="Normal"/>
    <w:pPr>
      <w:keepNext w:val="true"/>
      <w:numPr>
        <w:ilvl w:val="3"/>
        <w:numId w:val="1"/>
      </w:numPr>
      <w:ind w:hanging="0" w:left="720" w:right="0"/>
      <w:outlineLvl w:val="3"/>
    </w:pPr>
    <w:rPr>
      <w:b/>
      <w:bCs/>
      <w:sz w:val="28"/>
    </w:rPr>
  </w:style>
  <w:style w:type="paragraph" w:styleId="Heading5">
    <w:name w:val="heading 5"/>
    <w:basedOn w:val="Normal"/>
    <w:next w:val="Normal"/>
    <w:pPr>
      <w:keepNext w:val="true"/>
      <w:numPr>
        <w:ilvl w:val="4"/>
        <w:numId w:val="1"/>
      </w:numPr>
      <w:ind w:firstLine="708" w:left="2832" w:right="0"/>
      <w:jc w:val="both"/>
      <w:outlineLvl w:val="4"/>
    </w:pPr>
    <w:rPr>
      <w:b/>
      <w:bCs/>
      <w:color w:val="FF0000"/>
      <w:sz w:val="28"/>
    </w:rPr>
  </w:style>
  <w:style w:type="paragraph" w:styleId="Heading7">
    <w:name w:val="heading 7"/>
    <w:basedOn w:val="Normal"/>
    <w:next w:val="Normal"/>
    <w:pPr>
      <w:keepNext w:val="true"/>
      <w:numPr>
        <w:ilvl w:val="6"/>
        <w:numId w:val="1"/>
      </w:numPr>
      <w:jc w:val="center"/>
      <w:outlineLvl w:val="6"/>
    </w:pPr>
    <w:rPr>
      <w:sz w:val="28"/>
      <w:lang w:val="en-US"/>
    </w:rPr>
  </w:style>
  <w:style w:type="character" w:styleId="WW8Num1z2">
    <w:name w:val="WW8Num1z2"/>
    <w:rPr>
      <w:b/>
    </w:rPr>
  </w:style>
  <w:style w:type="character" w:styleId="WW8Num1z4">
    <w:name w:val="WW8Num1z4"/>
    <w:rPr>
      <w:rFonts w:ascii="Times New Roman" w:hAnsi="Times New Roman" w:eastAsia="Times New Roman" w:cs="Times New Roman"/>
    </w:rPr>
  </w:style>
  <w:style w:type="character" w:styleId="WW8Num2z0">
    <w:name w:val="WW8Num2z0"/>
    <w:rPr>
      <w:rFonts w:ascii="Arial" w:hAnsi="Arial" w:eastAsia="Times New Roman" w:cs="Arial"/>
      <w:b/>
    </w:rPr>
  </w:style>
  <w:style w:type="character" w:styleId="WW8Num4z0">
    <w:name w:val="WW8Num4z0"/>
    <w:rPr>
      <w:b/>
      <w:bCs/>
    </w:rPr>
  </w:style>
  <w:style w:type="character" w:styleId="WW8Num5z0">
    <w:name w:val="WW8Num5z0"/>
    <w:rPr>
      <w:rFonts w:ascii="Wingdings" w:hAnsi="Wingdings" w:cs="Wingdings"/>
    </w:rPr>
  </w:style>
  <w:style w:type="character" w:styleId="WW8Num6z0">
    <w:name w:val="WW8Num6z0"/>
    <w:rPr>
      <w:b/>
      <w:bCs/>
    </w:rPr>
  </w:style>
  <w:style w:type="character" w:styleId="WW8Num7z2">
    <w:name w:val="WW8Num7z2"/>
    <w:rPr>
      <w:rFonts w:ascii="Symbol" w:hAnsi="Symbol" w:cs="Symbol"/>
    </w:rPr>
  </w:style>
  <w:style w:type="character" w:styleId="WW8Num7z4">
    <w:name w:val="WW8Num7z4"/>
    <w:rPr>
      <w:rFonts w:ascii="Times New Roman" w:hAnsi="Times New Roman" w:eastAsia="Times New Roman" w:cs="Times New Roman"/>
    </w:rPr>
  </w:style>
  <w:style w:type="character" w:styleId="WW8Num8z0">
    <w:name w:val="WW8Num8z0"/>
    <w:rPr>
      <w:b/>
      <w:bCs/>
    </w:rPr>
  </w:style>
  <w:style w:type="character" w:styleId="WW8Num9z0">
    <w:name w:val="WW8Num9z0"/>
    <w:rPr>
      <w:rFonts w:ascii="Wingdings" w:hAnsi="Wingdings" w:cs="Wingdings"/>
    </w:rPr>
  </w:style>
  <w:style w:type="character" w:styleId="DefaultParagraphFont">
    <w:name w:val="Default Paragraph Font"/>
    <w:rPr/>
  </w:style>
  <w:style w:type="character" w:styleId="PageNumber">
    <w:name w:val="page number"/>
    <w:basedOn w:val="DefaultParagraphFont"/>
    <w:rPr/>
  </w:style>
  <w:style w:type="character" w:styleId="do1">
    <w:name w:val="do1"/>
    <w:rPr>
      <w:b/>
      <w:bCs/>
      <w:sz w:val="26"/>
      <w:szCs w:val="26"/>
    </w:rPr>
  </w:style>
  <w:style w:type="character" w:styleId="tpa1">
    <w:name w:val="tpa1"/>
    <w:basedOn w:val="DefaultParagraphFont"/>
    <w:rPr/>
  </w:style>
  <w:style w:type="character" w:styleId="al1">
    <w:name w:val="al1"/>
    <w:rPr>
      <w:b/>
      <w:bCs/>
    </w:rPr>
  </w:style>
  <w:style w:type="character" w:styleId="tal1">
    <w:name w:val="tal1"/>
    <w:basedOn w:val="DefaultParagraphFont"/>
    <w:rPr/>
  </w:style>
  <w:style w:type="character" w:styleId="ArticleLabel">
    <w:name w:val="ArticleLabel"/>
    <w:rPr>
      <w:rFonts w:ascii="Arial" w:hAnsi="Arial"/>
      <w:b/>
      <w:sz w:val="20"/>
    </w:rPr>
  </w:style>
  <w:style w:type="character" w:styleId="FootnoteCharacters">
    <w:name w:val="Footnote Characters"/>
    <w:rPr/>
  </w:style>
  <w:style w:type="character" w:styleId="CaptionCharacters">
    <w:name w:val="Caption Characters"/>
    <w:rPr/>
  </w:style>
  <w:style w:type="character" w:styleId="DropCaps">
    <w:name w:val="Drop Caps"/>
    <w:rPr/>
  </w:style>
  <w:style w:type="character" w:styleId="NumberingSymbols">
    <w:name w:val="Numbering Symbols"/>
    <w:rPr/>
  </w:style>
  <w:style w:type="character" w:styleId="Bullets">
    <w:name w:val="Bullets"/>
    <w:rPr>
      <w:rFonts w:ascii="OpenSymbol" w:hAnsi="OpenSymbol" w:eastAsia="OpenSymbol" w:cs="OpenSymbol"/>
    </w:rPr>
  </w:style>
  <w:style w:type="character" w:styleId="Hyperlink">
    <w:name w:val="Hyperlink"/>
    <w:rPr>
      <w:u w:val="single"/>
    </w:rPr>
  </w:style>
  <w:style w:type="character" w:styleId="FollowedHyperlink">
    <w:name w:val="FollowedHyperlink"/>
    <w:rPr>
      <w:u w:val="single"/>
    </w:rPr>
  </w:style>
  <w:style w:type="character" w:styleId="Placeholder">
    <w:name w:val="Placeholder"/>
    <w:rPr>
      <w:smallCaps/>
      <w:u w:val="dotted"/>
    </w:rPr>
  </w:style>
  <w:style w:type="character" w:styleId="IndexLink">
    <w:name w:val="Index Link"/>
    <w:rPr/>
  </w:style>
  <w:style w:type="character" w:styleId="EndnoteCharacters">
    <w:name w:val="Endnote Characters"/>
    <w:rPr/>
  </w:style>
  <w:style w:type="character" w:styleId="LineNumber">
    <w:name w:val="line number"/>
    <w:rPr/>
  </w:style>
  <w:style w:type="character" w:styleId="MainIndexEntry">
    <w:name w:val="Main Index Entry"/>
    <w:rPr>
      <w:b/>
      <w:bCs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Rubies">
    <w:name w:val="Rubies"/>
    <w:rPr>
      <w:sz w:val="12"/>
      <w:szCs w:val="12"/>
      <w:u w:val="none"/>
      <w:em w:val="none"/>
    </w:rPr>
  </w:style>
  <w:style w:type="character" w:styleId="VerticalNumberingSymbols">
    <w:name w:val="Vertical Numbering Symbols"/>
    <w:rPr>
      <w:eastAsianLayout w:vert="true"/>
    </w:rPr>
  </w:style>
  <w:style w:type="character" w:styleId="Emphasis">
    <w:name w:val="Emphasis"/>
    <w:rPr>
      <w:i/>
      <w:iCs/>
    </w:rPr>
  </w:style>
  <w:style w:type="character" w:styleId="Quotation">
    <w:name w:val="Quotation"/>
    <w:rPr>
      <w:i/>
      <w:iCs/>
    </w:rPr>
  </w:style>
  <w:style w:type="character" w:styleId="Strong">
    <w:name w:val="Strong"/>
    <w:rPr>
      <w:b/>
      <w:bCs/>
    </w:rPr>
  </w:style>
  <w:style w:type="character" w:styleId="SourceText">
    <w:name w:val="Source Text"/>
    <w:rPr>
      <w:rFonts w:ascii="Liberation Mono" w:hAnsi="Liberation Mono" w:eastAsia="Arial" w:cs="Liberation Mono"/>
    </w:rPr>
  </w:style>
  <w:style w:type="character" w:styleId="Example">
    <w:name w:val="Example"/>
    <w:rPr>
      <w:rFonts w:ascii="Liberation Mono" w:hAnsi="Liberation Mono" w:eastAsia="Arial" w:cs="Liberation Mono"/>
    </w:rPr>
  </w:style>
  <w:style w:type="character" w:styleId="UserEntry">
    <w:name w:val="User Entry"/>
    <w:rPr>
      <w:rFonts w:ascii="Liberation Mono" w:hAnsi="Liberation Mono" w:eastAsia="Arial" w:cs="Liberation Mono"/>
    </w:rPr>
  </w:style>
  <w:style w:type="character" w:styleId="Variable">
    <w:name w:val="Variable"/>
    <w:rPr>
      <w:i/>
      <w:iCs/>
    </w:rPr>
  </w:style>
  <w:style w:type="character" w:styleId="Definition">
    <w:name w:val="Definition"/>
    <w:rPr/>
  </w:style>
  <w:style w:type="character" w:styleId="Teletype">
    <w:name w:val="Teletype"/>
    <w:rPr>
      <w:rFonts w:ascii="Liberation Mono" w:hAnsi="Liberation Mono" w:eastAsia="Arial" w:cs="Liberation Mono"/>
    </w:rPr>
  </w:style>
  <w:style w:type="paragraph" w:styleId="Heading">
    <w:name w:val="Heading"/>
    <w:basedOn w:val="Normal"/>
    <w:next w:val="BodyText"/>
    <w:pPr>
      <w:keepNext w:val="true"/>
      <w:spacing w:before="240" w:after="120"/>
    </w:pPr>
    <w:rPr>
      <w:rFonts w:ascii="Arial" w:hAnsi="Arial" w:eastAsia="Arial" w:cs="Arial"/>
      <w:sz w:val="28"/>
      <w:szCs w:val="28"/>
    </w:rPr>
  </w:style>
  <w:style w:type="paragraph" w:styleId="BodyText">
    <w:name w:val="Body Text"/>
    <w:basedOn w:val="Normal"/>
    <w:pPr>
      <w:jc w:val="both"/>
    </w:pPr>
    <w:rPr>
      <w:sz w:val="28"/>
    </w:rPr>
  </w:style>
  <w:style w:type="paragraph" w:styleId="List">
    <w:name w:val="List"/>
    <w:basedOn w:val="BodyText"/>
    <w:pPr/>
    <w:rPr>
      <w:rFonts w:cs="Arial"/>
    </w:rPr>
  </w:style>
  <w:style w:type="paragraph" w:styleId="Caption">
    <w:name w:val="caption"/>
    <w:basedOn w:val="Normal"/>
    <w:pPr>
      <w:suppressLineNumbers/>
      <w:spacing w:before="120" w:after="120"/>
    </w:pPr>
    <w:rPr>
      <w:rFonts w:cs="Arial"/>
      <w:i/>
      <w:iCs/>
      <w:sz w:val="24"/>
      <w:szCs w:val="24"/>
    </w:rPr>
  </w:style>
  <w:style w:type="paragraph" w:styleId="Index">
    <w:name w:val="Index"/>
    <w:basedOn w:val="Normal"/>
    <w:pPr>
      <w:suppressLineNumbers/>
    </w:pPr>
    <w:rPr>
      <w:rFonts w:cs="Arial"/>
    </w:rPr>
  </w:style>
  <w:style w:type="paragraph" w:styleId="HeaderandFooter">
    <w:name w:val="Header and Footer"/>
    <w:basedOn w:val="Normal"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320" w:leader="none"/>
        <w:tab w:val="right" w:pos="8640" w:leader="none"/>
      </w:tabs>
    </w:pPr>
    <w:rPr/>
  </w:style>
  <w:style w:type="paragraph" w:styleId="BalloonText">
    <w:name w:val="Balloon Text"/>
    <w:basedOn w:val="Normal"/>
    <w:pPr/>
    <w:rPr>
      <w:rFonts w:ascii="Tahoma" w:hAnsi="Tahoma" w:cs="Tahoma"/>
      <w:sz w:val="16"/>
      <w:szCs w:val="16"/>
    </w:rPr>
  </w:style>
  <w:style w:type="paragraph" w:styleId="HTMLPreformatted">
    <w:name w:val="HTML Preformatted"/>
    <w:basedOn w:val="Normal"/>
    <w:pPr>
      <w:tabs>
        <w:tab w:val="clear" w:pos="708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</w:pPr>
    <w:rPr>
      <w:rFonts w:ascii="Courier New" w:hAnsi="Courier New" w:cs="Courier New"/>
      <w:sz w:val="20"/>
      <w:szCs w:val="20"/>
      <w:lang w:val="en-US"/>
    </w:rPr>
  </w:style>
  <w:style w:type="paragraph" w:styleId="ListParagraph">
    <w:name w:val="List Paragraph"/>
    <w:basedOn w:val="Normal"/>
    <w:pPr>
      <w:ind w:hanging="0" w:left="720" w:right="0"/>
    </w:pPr>
    <w:rPr/>
  </w:style>
  <w:style w:type="paragraph" w:styleId="TableContents">
    <w:name w:val="Table Contents"/>
    <w:basedOn w:val="Normal"/>
    <w:pPr>
      <w:widowControl w:val="false"/>
      <w:suppressLineNumbers/>
    </w:pPr>
    <w:rPr/>
  </w:style>
  <w:style w:type="paragraph" w:styleId="TableHeading">
    <w:name w:val="Table Heading"/>
    <w:basedOn w:val="TableContents"/>
    <w:pPr>
      <w:suppressLineNumbers/>
      <w:jc w:val="center"/>
    </w:pPr>
    <w:rPr>
      <w:b/>
      <w:bCs/>
    </w:rPr>
  </w:style>
  <w:style w:type="numbering" w:styleId="WW8Num1">
    <w:name w:val="WW8Num1"/>
  </w:style>
  <w:style w:type="numbering" w:styleId="WW8Num2">
    <w:name w:val="WW8Num2"/>
  </w:style>
  <w:style w:type="numbering" w:styleId="WW8Num3">
    <w:name w:val="WW8Num3"/>
  </w:style>
  <w:style w:type="numbering" w:styleId="WW8Num4">
    <w:name w:val="WW8Num4"/>
  </w:style>
  <w:style w:type="numbering" w:styleId="WW8Num5">
    <w:name w:val="WW8Num5"/>
  </w:style>
  <w:style w:type="numbering" w:styleId="WW8Num6">
    <w:name w:val="WW8Num6"/>
  </w:style>
  <w:style w:type="numbering" w:styleId="WW8Num7">
    <w:name w:val="WW8Num7"/>
  </w:style>
  <w:style w:type="numbering" w:styleId="WW8Num8">
    <w:name w:val="WW8Num8"/>
  </w:style>
  <w:style w:type="numbering" w:styleId="WW8Num9">
    <w:name w:val="WW8Num9"/>
  </w:style>
  <w:style w:type="numbering" w:styleId="WW8Num10">
    <w:name w:val="WW8Num10"/>
  </w:style>
  <w:style w:type="numbering" w:styleId="WW8Num11">
    <w:name w:val="WW8Num11"/>
  </w:style>
  <w:style w:type="numbering" w:styleId="Articles">
    <w:name w:val="Articles"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Application>LibreOffice/26.8.0.3$Linux_AARCH64 LibreOffice_project/680$Build-3</Application>
  <AppVersion>15.0000</AppVersion>
  <Pages>2</Pages>
  <Words>593</Words>
  <Characters>4105</Characters>
  <CharactersWithSpaces>4651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2024-03-04T10:11:00Z</dcterms:created>
  <dc:creator/>
  <dc:description/>
  <dc:language>ro-RO</dc:language>
  <cp:lastModifiedBy/>
  <cp:lastPrinted>2018-06-03T17:14:00Z</cp:lastPrinted>
  <dcterms:modified xsi:type="dcterms:W3CDTF">2026-10-10T18:46:30Z</dcterms:modified>
  <cp:revision>6</cp:revision>
  <dc:subject/>
  <dc:title/>
</cp:coreProperties>
</file>