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ecisionNumbers.instructions}}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Legii 307/2006 – art. 19 alin. (1) lit. g) și art. 22 și ale OMAI 163/2007 – art. 17 lit. b), art. 23 lit. c) și art. 33–35, {{client.representativeName}}, în calitate de {{fire.representativeRoleRunOn}} în cadru</w:t>
      </w:r>
      <w:r>
        <w:rPr>
          <w:rFonts w:eastAsia="Arial" w:cs="Arial" w:ascii="Arial" w:hAnsi="Arial"/>
          <w:color w:val="auto"/>
          <w:spacing w:val="0"/>
          <w:w w:val="100"/>
          <w:sz w:val="20"/>
          <w:szCs w:val="20"/>
          <w:lang w:val="ro-RO"/>
        </w:rPr>
        <w:t xml:space="preserve">l {{client.legalName}}, </w:t>
      </w:r>
      <w:r>
        <w:rPr>
          <w:rFonts w:eastAsia="Arial" w:cs="Arial" w:ascii="Arial" w:hAnsi="Arial"/>
          <w:color w:val="auto"/>
          <w:spacing w:val="0"/>
          <w:w w:val="100"/>
          <w:sz w:val="20"/>
          <w:szCs w:val="20"/>
          <w:lang w:val="ro-RO"/>
        </w:rPr>
        <w:t>începând cu dat</w:t>
      </w:r>
      <w:r>
        <w:rPr>
          <w:rFonts w:eastAsia="Arial" w:cs="Arial" w:ascii="Arial" w:hAnsi="Arial"/>
          <w:color w:val="auto"/>
          <w:spacing w:val="0"/>
          <w:w w:val="100"/>
          <w:sz w:val="20"/>
          <w:szCs w:val="20"/>
          <w:lang w:val="ro-RO"/>
        </w:rPr>
        <w:t>a de {{issueD</w:t>
      </w:r>
      <w:r>
        <w:rPr>
          <w:rFonts w:eastAsia="Arial" w:cs="Arial" w:ascii="Arial" w:hAnsi="Arial"/>
          <w:color w:val="auto"/>
          <w:spacing w:val="0"/>
          <w:w w:val="100"/>
          <w:sz w:val="20"/>
          <w:szCs w:val="20"/>
          <w:lang w:val="ro-RO"/>
        </w:rPr>
        <w:t>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și atribuțiile salariaților la locurile de muncă, pe capitole, după cum urmează:</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 Instrucțiuni de apărare împotriva incendiilor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stabilesc pentru următoarele locuri de muncă ale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 xml:space="preserve">{{name}} ({{activityRunOn}}){{#$last}}.{{/$last}}{{^$last}};{{/$last}}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cuprind următoarele: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Instrucțiunile se elaborează de conducătorii locurilor de muncă desemnați prin Decizia nr. {{fire.decisionNumbers.organization}}:</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 xml:space="preserve">{{name}}, având funcția de {{jobTitleRunOn}}, pentru {{#workplaceName}}locul de muncă {{workplaceName}}{{/workplaceName}}{{^workplaceName}}fiecare loc de muncă{{/workplaceName}}{{#$last}}.{{/$last}}{{^$last}};{{/$last}}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verifică de {{fireSafetyTechnician.name}}, cadru tehnic cu atribuții în domeniul apărării împotriva incendiilor, reprezentant al {{provider.legalName}}, și se aprobă de {{client.representativeName}}, în calitate de {{fire.representativeRoleRunOn}}.</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Instrucțiunile de apărare împotriva incendiilor se afișează la fiecare loc de muncă. Instrucțiunile fiecărui loc de muncă sunt cele din anexa la prezenta decizie.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Salariații de la locurile de muncă pentru care s-au întocmit instrucțiunile de apărare împotriva incendiilor au obligația să le studieze, să le însușească și să le aplice.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actualizează la modificări, modernizări, dezvoltări, reprofilări și la apariția unor noi reglementări.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instrucțiune de apărare împotriva incendiilor trebuie să aibă înscrisă data întocmirii/reviziei și data aprobării.</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 Atribuțiile salariaților la locurile de muncă</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III. Dispoziție finală</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Conducătorii locurilor de muncă nominalizați în prezenta decizie supun verificării cadrului tehnic orice modificare a instrucțiunilor de apărare împotriva incendiilor și a sarcinilor ce revin personalului de la locul de muncă pe care îl conduc, cuprinse în anexa la prezenta decizie.</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sz w:val="20"/>
          <w:szCs w:val="20"/>
          <w:lang w:val="it-CH"/>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PROCES-VERBAL DE LUARE DE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xml:space="preserve"> nr. {{fire.deci</w:t>
      </w:r>
      <w:r>
        <w:rPr>
          <w:rFonts w:eastAsia="Arial" w:cs="Arial" w:ascii="Arial" w:hAnsi="Arial"/>
          <w:color w:val="auto"/>
          <w:spacing w:val="0"/>
          <w:w w:val="100"/>
          <w:sz w:val="20"/>
          <w:szCs w:val="20"/>
          <w:lang w:val="ro-RO"/>
        </w:rPr>
        <w:t>sionNumbers.instructions}}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r>
        <w:br w:type="page"/>
      </w:r>
    </w:p>
    <w:p>
      <w:pPr>
        <w:pStyle w:val="Normal"/>
        <w:keepNext w:val="true"/>
        <w:pageBreakBefore w:val="false"/>
        <w:widowControl/>
        <w:numPr>
          <w:ilvl w:val="0"/>
          <w:numId w:val="0"/>
        </w:numPr>
        <w:spacing w:before="480" w:after="0"/>
        <w:ind w:hanging="0" w:left="0" w:right="0"/>
        <w:jc w:val="center"/>
        <w:rPr/>
      </w:pPr>
      <w:r>
        <w:rPr>
          <w:rStyle w:val="text1"/>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0"/>
        <w:ind w:hanging="0" w:left="0"/>
        <w:jc w:val="center"/>
        <w:rPr/>
      </w:pPr>
      <w:r>
        <w:rPr>
          <w:rStyle w:val="text1"/>
          <w:rFonts w:eastAsia="Arial" w:cs="Arial" w:ascii="Arial" w:hAnsi="Arial"/>
          <w:b/>
          <w:i w:val="false"/>
          <w:color w:val="auto"/>
          <w:spacing w:val="0"/>
          <w:w w:val="100"/>
          <w:sz w:val="24"/>
          <w:szCs w:val="20"/>
          <w:lang w:val="ro-RO"/>
        </w:rPr>
        <w:t>INSTRUCȚIUNI DE APĂRARE ÎMPOTRIVA INCENDIILOR</w:t>
      </w:r>
    </w:p>
    <w:p>
      <w:pPr>
        <w:pStyle w:val="Normal"/>
        <w:keepNext w:val="true"/>
        <w:pageBreakBefore w:val="false"/>
        <w:widowControl/>
        <w:numPr>
          <w:ilvl w:val="0"/>
          <w:numId w:val="0"/>
        </w:numPr>
        <w:spacing w:before="0" w:after="0"/>
        <w:ind w:hanging="0" w:left="0"/>
        <w:jc w:val="center"/>
        <w:rPr/>
      </w:pPr>
      <w:r>
        <w:rPr>
          <w:rStyle w:val="text1"/>
          <w:rFonts w:eastAsia="Arial" w:cs="Arial" w:ascii="Arial" w:hAnsi="Arial"/>
          <w:b/>
          <w:i w:val="false"/>
          <w:color w:val="auto"/>
          <w:spacing w:val="0"/>
          <w:w w:val="100"/>
          <w:sz w:val="20"/>
          <w:szCs w:val="20"/>
          <w:lang w:val="ro-RO"/>
        </w:rPr>
        <w:t>ANEXA</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la Decizia nr. {{fire.decisionNumbers.instructions}} din {{issueDate}}</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Locul de muncă: {{name}} ({{activityRunOn}})</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Adresa: {{address}}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 Obligațiile administratorului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19 alin. (1)) Administratorul sau conducătorul instituției, după caz,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l)</w:t>
      </w:r>
      <w:r>
        <w:rPr>
          <w:rStyle w:val="text1"/>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m)</w:t>
      </w:r>
      <w:r>
        <w:rPr>
          <w:rStyle w:val="text1"/>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n)</w:t>
      </w:r>
      <w:r>
        <w:rPr>
          <w:rStyle w:val="text1"/>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o)</w:t>
      </w:r>
      <w:r>
        <w:rPr>
          <w:rStyle w:val="text1"/>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p)</w:t>
      </w:r>
      <w:r>
        <w:rPr>
          <w:rStyle w:val="text1"/>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q)</w:t>
      </w:r>
      <w:r>
        <w:rPr>
          <w:rStyle w:val="text1"/>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2</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dispună și să asigure menținerea, pe intervalul de timp prevăzut la lit. r</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xml:space="preserve"> alin. (4</w:t>
      </w:r>
      <w:r>
        <w:rPr>
          <w:rStyle w:val="text1"/>
          <w:rFonts w:eastAsia="Arial" w:cs="Arial" w:ascii="Arial" w:hAnsi="Arial"/>
          <w:b w:val="false"/>
          <w:i w:val="false"/>
          <w:color w:val="auto"/>
          <w:spacing w:val="0"/>
          <w:w w:val="100"/>
          <w:sz w:val="20"/>
          <w:szCs w:val="20"/>
          <w:vertAlign w:val="superscript"/>
          <w:lang w:val="ro-RO"/>
        </w:rPr>
        <w:t>4</w:t>
      </w:r>
      <w:r>
        <w:rPr>
          <w:rStyle w:val="text1"/>
          <w:rFonts w:eastAsia="Arial" w:cs="Arial" w:ascii="Arial" w:hAnsi="Arial"/>
          <w:b w:val="false"/>
          <w:i w:val="false"/>
          <w:color w:val="auto"/>
          <w:spacing w:val="0"/>
          <w:w w:val="100"/>
          <w:sz w:val="20"/>
          <w:szCs w:val="20"/>
          <w:lang w:val="ro-RO"/>
        </w:rPr>
        <w: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3</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xml:space="preserve"> alin. (4</w:t>
      </w:r>
      <w:r>
        <w:rPr>
          <w:rStyle w:val="text1"/>
          <w:rFonts w:eastAsia="Arial" w:cs="Arial" w:ascii="Arial" w:hAnsi="Arial"/>
          <w:b w:val="false"/>
          <w:i w:val="false"/>
          <w:color w:val="auto"/>
          <w:spacing w:val="0"/>
          <w:w w:val="100"/>
          <w:sz w:val="20"/>
          <w:szCs w:val="20"/>
          <w:vertAlign w:val="superscript"/>
          <w:lang w:val="ro-RO"/>
        </w:rPr>
        <w:t>4</w:t>
      </w:r>
      <w:r>
        <w:rPr>
          <w:rStyle w:val="text1"/>
          <w:rFonts w:eastAsia="Arial" w:cs="Arial" w:ascii="Arial" w:hAnsi="Arial"/>
          <w:b w:val="false"/>
          <w:i w:val="false"/>
          <w:color w:val="auto"/>
          <w:spacing w:val="0"/>
          <w:w w:val="100"/>
          <w:sz w:val="20"/>
          <w:szCs w:val="20"/>
          <w:lang w:val="ro-RO"/>
        </w:rPr>
        <w:t>)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4</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5</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6</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7</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8</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9</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10</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11</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12</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13</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14</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15</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16</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s)</w:t>
      </w:r>
      <w:r>
        <w:rPr>
          <w:rStyle w:val="text1"/>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 xml:space="preserve">Pentru îndeplinirea atribuțiilor, conform OMAI 163/2007 – art. 6, administratorul desemnează persoane sau încheie contracte de prestări de servicii cu persoane fizice sau juridice atestate conform legii.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 xml:space="preserve">Administratorul răspunde de activitatea de apărare împotriva incendiilor și o conduce prin structurile subordonate.</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 xml:space="preserve">II. Obligațiile conducătorilor locurilor de muncă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 xml:space="preserve">Conducătorii locurilor de muncă au următoarele atribuții: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completarea și actualizarea evidenței personalului subordonat;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studierea și însușirea actelor de autoritate emise de conducător;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studierea și însușirea prezentelor atribuții.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Instruirea: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desfășurarea instruirii personalului din subordine conform deciziei privind instruirea în domeniul situațiilor de urgență, Decizia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desfășurarea instruirii personalului din exterior conform aceleiași decizii;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asigurarea participării angajaților la instruire și la exercițiile practice, conform planificării;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aducerea la cunoștința personalului din subordine, pe bază de semnătură, a conținutului actelor de autoritate, în părțile care îl privesc;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instruirea periodică a personalului din subordine{{#fire.staff.executionText}}: personalul de execuție la {{fire.schedule.workerIntervalLabel}}, respectiv în {{fire.schedule.workerMonths}}{{/fire.staff.executionText}}, conform Deciziei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 xml:space="preserve">verificarea fișelor individuale de instructaj, ca acestea să fie completate corect, cu toate datele din formular, data instruirii și testele efectuate;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prelucrarea legislației primite pentru instruire;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prelucrarea tematicii instruirii periodice;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 xml:space="preserve">semnarea fișei individuale de instructaj la rubrica „persoana care a instruit”;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 xml:space="preserve">verificarea semnării de către angajat a fișei individuale de instructaj la rubrica „persoana instruită”.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Exerciții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lunară, practică, a exercițiilor de primă intervenție cu personalul nominalizat;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completarea evidenței exercițiilor desfășurate, cu semnătura personalului participant.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Organizarea intervenției la locul de muncă, respectiv:</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prezentarea semnalului de alarmare – voce, sirenă;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precizarea numărului de telefon operativ – 112;</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prezentarea locului de amplasare a stingătoarelor, a hidranților interiori și a butoanelor de semnalizare;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stabilirea sarcinilor fiecărui angajat în caz de alarmă;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traseele de evacuare – prezentarea căilor și ușilor de evacuare;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locul de adunare a personalului evacuat – se prezintă locul de adunare;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cine face prezența – se nominalizează persoana cu această obligație;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semnarea tabelului cu personalul participant la exercițiu, lunar;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afișarea organizării apărării împotriva incendiilor la locul de muncă și a planului cu organizarea evacuării.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Controlul intern:</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controalelor interne{{#controlDecision}} conform planificării, Decizia nr. {{fire.decisionNumbers.control}}{{/controlDecision}};</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înscrierea constatărilor în procesul-verbal de control propriu;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verificarea stingătoarelor, lunar – aspect, valabilitate;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verificarea marcajelor, lunar – semne convenționale;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verificarea respectării regulilor privind fumatul, stabilite prin Decizia nr. {{fire.decisionNumbers.smoking}}.</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Atribuții specifice potrivit OMAI 163/2007:</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verificarea, la terminarea programului, a scoaterii din funcțiune a aparatelor și consumatorilor;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 xml:space="preserve">alte atribuții specifice: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apărării împotriva incendiilor când activitatea este întreruptă;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colectarea, depozitarea și neutralizarea organizată 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delimitarea, marcarea și dotarea locurilor special amenajate pentru fumat;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prezentarea fișei obiectivului la solicitarea reprezentanților ISU;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prezentarea la sediu, în formă scrisă, a propunerilor pentru remedierea neregulilor și pentru efectuarea analizei periodice a capacității de apărare împotriva incendiilor;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funcționării sistemului de alarmare la incendiu – comunicarea inexistenței sau nefuncționării acestui sistem;</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marcarea locurilor unde este interzisă folosirea focului deschis;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respectarea interdicției de depozitare a lichidelor inflamabile altfel decât prevăd normele în vigoare;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în stare deblocată a căilor de acces ale autospecialelor;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în stare deblocată a accesului la instalațiile și mijloacele de stingere și intervenție;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anunțarea expirării termenului de valabilitate a mijloacelor de primă intervenție, cu 30 de zile înainte;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afișarea la loc vizibil a instrucțiunilor de apărare împotriva incendiilor, a organizării primei intervenții, a organizării apărării la locul de muncă și a planului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actualizarea datelor la modificările din structura de personal;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marcarea cu sistem luminos a căilor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vizibilității indicatoarelor de securitate la incendiu;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folosirea sistemelor, utilajelor și aparatelor numai în condiții tehnice corespunzătoare;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desfășurarea instruirii personalului din subordine și a personalului din exterior conform deciziei privind instruirea;</w:t>
      </w:r>
    </w:p>
    <w:p>
      <w:pPr>
        <w:pStyle w:val="Normal"/>
        <w:keepNext w:val="false"/>
        <w:pageBreakBefore w:val="false"/>
        <w:widowControl/>
        <w:numPr>
          <w:ilvl w:val="0"/>
          <w:numId w:val="0"/>
        </w:numPr>
        <w:spacing w:before="0" w:after="12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completarea registrului de control al instalațiilor.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 xml:space="preserve">Pentru organizarea apărării împotriva incendiilor la locul de muncă, conducătorii locurilor de muncă au următoarele responsabilități:</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prevenirea incendiilor – țin evidența:</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materialelor și dotărilor tehnologice cu pericol de incendiu;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surselor probabile de aprindere;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mijloacelor care pot genera incendii;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măsurilor de prevenire specifice;</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intervenția pentru stingerea incendiilor: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mijloacele de alarmare a personalului, a forțelor specializate și a administratorului;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mijloacele de primă intervenție și de salvare a personalului;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 xml:space="preserve">componența echipei de primă intervenție, pe schimburi și pe zile de lucru;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organizarea intervenției, cu nominalizarea persoanelor incluse și a activităților;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pentru intervenția la locul de muncă: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alarmează personalul de la locul de muncă;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anunță evenimentul la conducere și la 112;</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coordonează salvarea personalului conform planului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dispun întreruperea alimentării cu energie electrică și gaze;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conduc acțiunea de primă intervenție cu mijloacele din dotare;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organizează evacuarea bunurilor aflate în pericol;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iau măsuri de protecție a personalului de intervenție împotriva efectelor incendiului;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verifică prezența personalului evacuat, corelată cu personalul aflat la lucru în ziua respectivă;</w:t>
      </w:r>
    </w:p>
    <w:p>
      <w:pPr>
        <w:pStyle w:val="Normal"/>
        <w:keepNext w:val="false"/>
        <w:pageBreakBefore w:val="false"/>
        <w:widowControl/>
        <w:numPr>
          <w:ilvl w:val="0"/>
          <w:numId w:val="0"/>
        </w:numPr>
        <w:spacing w:before="0" w:after="12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organizează verificarea locurilor în care pot apărea focare noi sau unde se poate propaga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intervenția la locurile de muncă, nominalizarea persoanelor se face pe schimburi de activitate, în timpul și în afara programului de lucru și pentru zilele de repaus și sărbătorile legale.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situația în care activitatea normală este întreruptă (noaptea, zile nelucrătoare, sărbători legale etc.) se iau în mod obligatoriu măsuri de apărare împotriva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III. Obligațiile utilizatorului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IV. Obligațiile salariaților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 Comportamentul în caz de incendiu</w:t>
      </w:r>
    </w:p>
    <w:tbl>
      <w:tblPr>
        <w:tblW w:w="5000" w:type="pct"/>
        <w:jc w:val="left"/>
        <w:tblInd w:w="55" w:type="dxa"/>
        <w:tblLayout w:type="fixed"/>
        <w:tblCellMar>
          <w:top w:w="55" w:type="dxa"/>
          <w:left w:w="55" w:type="dxa"/>
          <w:bottom w:w="55" w:type="dxa"/>
          <w:right w:w="55" w:type="dxa"/>
        </w:tblCellMar>
      </w:tblPr>
      <w:tblGrid>
        <w:gridCol w:w="2806"/>
        <w:gridCol w:w="6549"/>
      </w:tblGrid>
      <w:tr>
        <w:trPr>
          <w:tblHeader w:val="true"/>
        </w:trPr>
        <w:tc>
          <w:tcPr>
            <w:tcW w:w="9355" w:type="dxa"/>
            <w:gridSpan w:val="2"/>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Comportament în caz de incendiu – Păstrați-vă calmul!</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 Anunțați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pompieri: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salvare: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CINE anunță? CE s-a întâmplat? UNDE s-a întâmplat?</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2. Evacuați-vă în siguranță</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Salvați persoanele aflate în pericol.</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Urmați căile de evacuare marcate.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Fiți atenți la indicatoare.</w:t>
            </w:r>
          </w:p>
        </w:tc>
      </w:tr>
      <w:tr>
        <w:trPr/>
        <w:tc>
          <w:tcPr>
            <w:tcW w:w="280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3. Stingeți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Utilizați stingătoarele.</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Informarea pompierilor: pompierii sunt întâmpinați de administrator (sau de reprezentantul acestuia), care îi informează cu privire la: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numărul și locurile posibile din clădire unde mai sunt persoane;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situația intrărilor, a caselor de scări și a coridoarelor;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locul unde s-a produs incendiul și propagarea acestuia;</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alte date solicitate de forțele de intervenție.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Fiecare salariat trebuie să știe: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unde se găsesc stingătoarele;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cum se utilizează acestea;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ce tip de stingător este potrivit fiecărui tip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ce tactică de stingere trebuie utilizată.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De aceea: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informați-vă unde sunt amplasate stingătoarele!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citiți indicațiile de folosire – pe cât posibil chiar acum, și nu abia atunci când s-a produs incendiul!</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participați la exercițiul practic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 Mijloacele de apărare împotriva incendiilor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Locul de muncă este dotat cu următoarele mijloace tehnice de apărare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 xml:space="preserve">{{kindLabel}}{{#description}} ({{description}}){{/description}}{{^$last}};{{/$last}}{{#$last}}{{#extinguishers}}{{#$last}};{{/$last}}{{/extinguishers}}{{^extinguishers}}{{#otherEquipment}}{{#$last}};{{/$last}}{{/otherEquipment}}{{^otherEquipment}}.{{/otherEquipment}}{{/extinguishers}}{{/$last}}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 xml:space="preserve">Stingător tip {{code}} – {{agentLabel}}, {{capacityLabel}}{{#wheeled}}, carosabil{{/wheeled}}: {{count}} buc.{{^$last}};{{/$last}}{{#$last}}{{#otherEquipment}}{{#$last}};{{/$last}}{{/otherEquipment}}{{^otherEquipment}}.{{/otherEquipment}}{{/$last}}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 xml:space="preserve">{{kindLabel}}: {{count}} buc.{{#$last}}.{{/$last}}{{^$last}};{{/$last}}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tru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Stingătoarele sunt repartizate după cum urmează:</w:t>
      </w:r>
    </w:p>
    <w:tbl>
      <w:tblPr>
        <w:tblW w:w="5000" w:type="pct"/>
        <w:jc w:val="left"/>
        <w:tblInd w:w="55" w:type="dxa"/>
        <w:tblLayout w:type="fixed"/>
        <w:tblCellMar>
          <w:top w:w="55" w:type="dxa"/>
          <w:left w:w="55" w:type="dxa"/>
          <w:bottom w:w="55" w:type="dxa"/>
          <w:right w:w="55" w:type="dxa"/>
        </w:tblCellMar>
      </w:tblPr>
      <w:tblGrid>
        <w:gridCol w:w="1039"/>
        <w:gridCol w:w="1559"/>
        <w:gridCol w:w="3118"/>
        <w:gridCol w:w="2079"/>
        <w:gridCol w:w="1560"/>
      </w:tblGrid>
      <w:tr>
        <w:trPr>
          <w:tblHeader w:val="true"/>
        </w:trPr>
        <w:tc>
          <w:tcPr>
            <w:tcW w:w="10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Agent de stingere</w:t>
            </w:r>
          </w:p>
        </w:tc>
        <w:tc>
          <w:tcPr>
            <w:tcW w:w="207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Capacitate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bucăți</w:t>
            </w:r>
          </w:p>
        </w:tc>
      </w:tr>
      <w:tr>
        <w:trPr/>
        <w:tc>
          <w:tcPr>
            <w:tcW w:w="1039"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{{#extinguishers}}{{$index}}.</w:t>
            </w:r>
          </w:p>
        </w:tc>
        <w:tc>
          <w:tcPr>
            <w:tcW w:w="155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{{code}}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{{agentLabel}}</w:t>
            </w:r>
          </w:p>
        </w:tc>
        <w:tc>
          <w:tcPr>
            <w:tcW w:w="207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{{capacityLabel}}{{#wheeled}}, carosabil{{/wheeled}}</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{{count}}{{/extinguishers}}</w:t>
            </w:r>
          </w:p>
        </w:tc>
      </w:tr>
      <w:tr>
        <w:trPr/>
        <w:tc>
          <w:tcPr>
            <w:tcW w:w="7795" w:type="dxa"/>
            <w:gridSpan w:val="4"/>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Total</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{{extinguisherCount}}</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Salariații trebuie să cunoască: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unde sunt amplasate stingătoarele (locul exact);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cum se utilizează acestea (la stingătorul portabil se trage inelul de siguranță și se apasă mânerul declanșator).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 Elementele care determină riscul de incendiu</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Conform OMAI 163/2007 – art. 33 alin. (2) lit. d), riscul de incendiu la locul de muncă este determinat de: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materialele combustibile și inflamabile – {{combustibleMaterials}};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sursele de aprindere posibile – {{ignitionSources}};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echipamentele și mijloacele de lucru – {{fireRiskEquipment}}.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Măsuri specifice locului de muncă: {{specificMeasuresRunOn}}</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VIII. Reguli generale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Este interzisă exploatarea utilajelor și instalațiilor electrice în următoarele situații: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fără să aibă protecțiile, izolările sau separațiile necesare, precum și legătura la pământ și la nulul de protecție;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dacă sunt amplasate la distanțe necorespunzătoare față de materiale sau substanțe combustibile;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dacă sunt încărcate peste sarcina admisibilă;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cu improvizații sau defecțiuni;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cu încălziri ale lagărelor sau carcaselor peste temperatura admisă.</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Accesul și intervenția la tablourile de distribuție, comandă și automatizare sunt permise numai personalului autorizat.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amplasarea oricăror materiale sau utilaje în imediata apropiere a tablourilor electrice.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Orice defecțiune a instalațiilor electrice se remediază în cel mai scurt timp, numai de către personalul autorizat pentru astfel de intervenții.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Măsurile tehnico-organizatorice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întreținerea și exploatarea instalațiilor electrice fără defecțiuni și improvizații;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executarea lucrărilor cu foc deschis cu respectarea prescripțiilor tehnice specifice (permis de lucru cu foc);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verificarea periodică a mijloacelor de primă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instruirea periodică, teoretică și practică, a salariaților;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executarea periodică a unor exerciții practice de stingere cu salariații.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 xml:space="preserve">În afara lucrărilor autorizate prin permis de lucru cu foc, se interzice folosirea focului deschis și a aparatelor de încălzit cu flacără deschisă.</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Executarea lucrărilor de sudare, tăiere, lipire sau a altor asemenea operațiuni care prezintă pericol de incendiu se realizează doar cu aprobarea și reglementarea scrisă a administratorului privind modul de executare (Decizia nr. {{fire.decisionNumbers.openFire}}), pe baza permisului de lucru cu foc.</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IX. Fumatul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Fumatul este interzis în toate spațiile și pe întreaga incintă a {{client.legalName}}, conform Deciziei nr. {{fire.decisionNumbers.smoking}}.</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Fumatul este interzis în spațiile de lucru, în birouri, în grupurile social-sanitare și în toate spațiile închise. Fumatul este permis numai în locurile amenajate în exteriorul clădirilor{{#fire.smoking.place}} ({{fire.smoking.place}}){{/fire.smoking.place}}, conform Deciziei nr. {{fire.decisionNumbers.smoking}}: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locurile stabilite pentru fumat sunt marcate și semnalizate „LOC PENTRU FUMAT”, fiind prevăzute cu scrumiere sau vase cu apă, nisip sau pământ;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scrumierele se amplasează astfel încât să nu fie posibilă aprinderea materialelor combustibile din apropiere (draperii, jaluzele etc.);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depunerea în scrumiere a altor deșeuri de materiale combustibile este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nu este permis fumatul în exteriorul clădirii la o distanță mai mică de 40 m față de locurile în care există pericol de explozie (gaze și lichide combustibile, rastel cu butelii GPL etc.) sau la o distanță mai mică de 10 m față de locurile în care există materiale solide combustibile (lemn, hârtie,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Aruncarea la întâmplare a resturilor de țigări sau chibrituri aprinse este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 Căile de acces, de evacuare și de intervenție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Accesul mijloacelor și al persoanelor pentru intervențiile operative în caz de incendiu trebuie să fie asigurat în permanență la toate: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spațiile de producție;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instalațiile tehnologice și anexele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depozitele închise și deschise;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instalațiile, aparatele și mijloacele de apărare împotriva incendiilor, precum și punctele de comandă ale acestora (centrala și butoanele de semnalizare a incendiilor, stația de pompe de incendiu, hidranții de incendiu, stingătoarele, posturile telefonice etc.);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dispozitivele de acționare a unor mijloace cu rol de protecție în caz de incendiu (trape de evacuare a fumului și gazelor fierbinți etc.);</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tablourile de distribuție și întrerupătoarele instalațiilor electrice de iluminat, de forță și de iluminat de siguranță și sursele de rezervă destinate să alimenteze receptoarele electrice cu rol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trebuie menținute, în orice anotimp, practicabile și curate. Blocarea căilor de acces, de evacuare și de intervenție cu materiale care reduc lățimea sau înălțimea liberă de circulație stabilită ori care prezintă pericol de incendiu sau explozie, precum și modificările la acestea, prin care se înrăutățește situația inițială, sunt interzise.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Sistemul de închidere a ușilor de pe traseele de evacuare trebuie să permită deschiderea cu ușurință a acestora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Dispozitivele care asigură închiderea automată în caz de incendiu a elementelor de protecție, cele de acționare a trapelor, precum și cele care mențin în poziție închisă ușile încăperilor tampon vor fi în permanență în stare de funcționare.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sunt marcate cu indicatoare de securitate, astfel încât traseele acestora să poată fi recunoscute cu ușurință, atât ziua, cât și noaptea, de persoanele care le utilizează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 Colectarea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Colectarea deșeurilor și reziduurilor combustibile se face ritmic, obligatoriu la terminarea fiecărui schimb, iar acestea se depun în locurile destinate depozitării sau distrugerii lor, astfel încât la locurile de muncă să fie în permanență curățenie, conform Deciziei nr. {{fire.decisionNumbers.waste}}.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Se colectează: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pulberile, rumegușul, talașul și alte deșeuri combustibile depuse pe pardoseli;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 xml:space="preserve">hârtia uzată;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scurgerile de lichide combustibile de pe sol, pardoseli etc.;</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ambalajele care prezintă pericol de incendiu sau de explozie (lemn,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Deșeurile ușor inflamabile (ambalaje din carton, materiale plastice) vor fi îndepărtate din încăperi și depozitate în zona de siguranță, respectiv în containerele pentru deșeuri.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 Transportul, manipularea și depozitarea</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 timpul transportului, manipulării și depozitării produselor sau substanțelor combustibile, se va ține seama de proprietățile fizico-chimice și de compatibilitatea acestora cu substanțele de stingere, astfel încât la contactul dintre ele să nu se producă ori să nu se propage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Reguli privind transporturile rutiere și condițiile de parcare: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parcarea unității este strict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 inventarul autovehiculului trebuie să se găsească stingătorul, iar în cazul autovehiculelor care transportă încărcături ușor inflamabile sau periculoase, câte două stingătoare, precum și o ladă sau un sac cu nisip, o pătură groasă și o lopată pentru împrăștierea nisipului;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se interzice plecarea în cursă a autovehiculelor destinate transporturilor de persoane care nu sunt amenajate în conformitate cu prevederile regulamentului privind circulația pe drumurile publice;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se interzice folosirea flăcării deschise sau a altor surse de foc pentru pornirea motorului ori pentru iluminare la remedierea defecțiunilor sau la alimentarea cu combustibil, efectuate pe timpul nopții;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parcarea autovehiculelor se face numai în locurile marcate, astfel încât să se păstreze spațiile necesare pentru intervenția rapidă în caz de incendiu; pe platforma de parcare se vor întreține marcajele spațiilor destinate dispunerii autovehiculelor;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se interzice introducerea în parcare a autoturismelor care: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sunt încărcate cu substanțe explozive ori lichide combustibile sau ușor inflamabile;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fisuri, spărturi sau sunt fără bușoane la rezervoarele de combustibil;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prezintă scurgeri de combustibil;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motoare sau țevi de eșapament supraîncălzite ori sunt fără tobă de eșapament;</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instalația electrică defectă;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în cazul deversării accidentale a carburanților sau lubrifianților pe pardoseală, petele se acoperă cu nisip; nisipul îmbibat se evacuează imediat în afara parcajului, în locuri fără pericol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mijloacele auto pentru transportul materialelor periculoase, clasificate conform legii, pot circula pe drumurile publice numai dacă sunt omologate pentru clasele de periculozitate a materialelor respective și echipate cu mijloace adecvate pentru stingerea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traseele și programele admise pentru circulația mijloacelor auto care transportă mărfuri periculoase, locurile în care se permite staționarea sau parcarea acestora, precum și condițiile privind amenajarea parcajelor și dotarea acestora cu mijloace de prevenire și stingere a incendiilor se stabilesc prin reglementări specifice și dispoziții locale;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parcaje sau garaje publice ori în apropierea clădirilor publice și de locuit este strict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XIII. Intervenția și salvarea</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 xml:space="preserve">Fiecare angajat trebuie să cunoască planul de evacuare aprobat. Se asigură: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în stare de funcționare, pe tot timpul desfășurării activității, a ușilor de pe toate traseele de evacuare și intervenție în caz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căilor de evacuare permanent curate și libere de mărfuri sau obstacole;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numirea persoanelor care asigură supravegherea pe timpul evacuării, precum și îndrumarea evacuării persoanelor și a bunurilor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În cazul constatării producerii unui incendiu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provocate la instalațiile alimentate cu combustibili lichizi sau gazoși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 cazul în care focul a cuprins elementele mai sus menționate, acoperiți întregul loc al supapei cu o prelată umedă care să cuprindă toată partea încinsă (butelie, recipient etc.) și acționați cu stingătorul, proiectând conținutul lui la baza flăcărilor;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atunci când totuși s-au produs explozii ori s-au inflamat gazele aflate într-o încăpere, după salvarea eventualelor victime, închideți ușile încăperilor unde s-a transmis incendiul, după care treceți la stingerea focarelor prin stropirea cu substanță de stingere sau prin batere cu cârpe umede; mobilierul combustibil ce nu poate fi evacuat și este amenințat de flăcări va fi acoperit cu prelate umede.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la instalațiile electrice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chiar dacă aparent flăcările nu sunt vizibile, locul pe unde iese fumul, precum și capacul dozei întrerupătorului sau al prizei care este cald vor indica circuitul care s-a aprins (traseul incendiului);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în tubul de protecție a conductoarelor;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după stingere, este interzisă repunerea instalației sub tensiune înainte ca circuitele să fie verificate și remediate de către electricieni autorizați.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la autovehicule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întrerupeți curentul prin scoaterea legăturilor de la baterie și treceți la stingerea incendiului folosind stingătorul din dotarea mașinii sau a altor vehicule ce trec pe drum;</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smulgerea materialelor aprinse, când benzina scursă nu s-a aprins; dacă arderea are loc în apropierea rezervorului de benzină sau motorină, acoperiți-l cu cârpe ude pentru a nu se încălzi;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prin deschiderea forțată 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al nasului, o batistă umedă și mergeți aplecat, deoarece concentrația fumului este mai mică și temperatura mai scăzută la nivelul pardoselii;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 xml:space="preserve">deschideți ferestrele pentru evacuarea fumului și căutați persoanele rămase la uși, la ferestre și în încăperile necuprinse de flăcări.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XIV. Primul ajutor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Primul ajutor se acordă neîntârziat, până la sosirea echipajului de urgență, care trebuie chemat prin 112 din primul moment.</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Conduita salvatorului cuprinde, în această ordine: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examinarea victimei: dacă răspunde, dacă respiră normal, dacă sângerează abundent;</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acordarea primului ajutor potrivit stării victimei și supravegherea ei până la preluarea de către echipajul de urgență.</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apelul 112 se comunică:</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locul exact al accidentului (adresa, clădirea, etajul, reperele și intrarea pe care o vor folosi echipajele);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ce s-a întâmplat (cădere, electrocutare, arsură, intoxicație, îmbolnăvire bruscă);</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numărul victimelor și starea lor (dacă răspund, dacă respiră, dacă sângerează);</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pericolele care persistă (incendiu, gaz, curent electric, substanțe chimice);</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numărul de telefon de la care se sună.</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Examinarea victimei se face rapid, în această ordine: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restul corpului: la victima care respiră normal se caută alte leziuni (cap, gât, torace, abdomen, bazin, membre), fără a o mișca inutil.</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funcție de rezultatul examinării:</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În caz de îndoială, salvatorul presupune că victima este în stop cardiac și începe resuscitarea.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îngenunchează lângă victima culcată pe spate, cu ambele picioare întinse;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așază brațul victimei dinspre el în unghi drept față de corp, cu palma în sus;</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aduce celălalt braț al victimei peste piept și ține dosul palmei acesteia lipit de obrazul dinspre el;</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așază piciorul de deasupra cu șoldul și genunchiul îndoite în unghi drept;</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Compresiile toracice se execută astfel:</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descoperă pieptul victimei dacă hainele îl împiedică să găsească locul corect;</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ține brațele întinse, cu umerii vertical deasupra pieptului victimei;</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apasă pieptul în jos cu cel puțin 5 cm, dar nu mai mult de 6 cm;</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menține un ritm de 100–120 de compresii pe minut;</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reduce la minimum pauzele dintre compresii.</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deschide căile respiratorii prin înclinarea capului pe spate și ridicarea bărbiei;</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închide nasul victimei cu degetul mare și arătătorul mâinii de pe frunte;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lasă pieptul să coboare și repetă o dată;</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reia imediat cele 30 de compresii.</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 Se folosește astfel:</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cât timp aparatul analizează ritmul și când administrează șocul, nimeni nu atinge victima;</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Lucrătorii trebuie să știe unde se află cel mai apropiat defibrilator, la locul de muncă sau în clădirile din apropiere.</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arsurile produse de flacără, de lichide sau obiecte fierbinți ori de abur:</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arsura se răcește imediat cu apă curentă rece sau răcoroasă (nu cu gheață), cel puțin 20 de minute;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nu intră într-o încăpere sau într-un spațiu închis cu gaz sau lipsit de aer, fără aparat de respirat și fără să fie asigurat de o altă persoană; sună la 112;</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poate face acest lucru fără risc, deschide ușile și ferestrele și oprește sursa de gaz;</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4"/>
        </w:numPr>
        <w:spacing w:before="0" w:after="120"/>
        <w:jc w:val="left"/>
        <w:rPr>
          <w:rFonts w:ascii="Arial" w:hAnsi="Arial" w:cs="Arial"/>
          <w:sz w:val="20"/>
          <w:szCs w:val="20"/>
          <w:lang w:val="ro-RO"/>
        </w:rPr>
      </w:pPr>
      <w:r>
        <w:rPr>
          <w:rStyle w:val="text1"/>
          <w:rFonts w:eastAsia="Arial" w:cs="Arial" w:ascii="Arial" w:hAnsi="Arial"/>
          <w:b w:val="false"/>
          <w:i w:val="false"/>
          <w:color w:val="auto"/>
          <w:spacing w:val="0"/>
          <w:w w:val="100"/>
          <w:sz w:val="20"/>
          <w:szCs w:val="20"/>
          <w:lang w:val="ro-RO"/>
        </w:rPr>
        <w:t>orice persoană intoxicată cu gaze merge la medic, chiar dacă pare să-și fi revenit.</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electrocutare, salvatorul nu atinge victima cât timp aceasta este în contact cu sursa de curent:</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4"/>
        </w:numPr>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4"/>
        </w:numPr>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 Locul de adunare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Locul de adunare a personalului evacuat: {{assemblyPoint}}.</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XVI. Cadrul tehnic</w:t>
      </w:r>
    </w:p>
    <w:p>
      <w:pPr>
        <w:pStyle w:val="Normal"/>
        <w:keepNext w:val="tru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Cadrul tehnic cu atribuții în domeniul apărării împotriva incendiilor, {{fireSafetyTechnician.name}}, reprezentant al {{provider.legalName}}, îndeplinește obligațiile prevăzute de Legea 307/2006 – art. 27 alin. (1), redate în Decizia nr. {{fire.decisionNumbers.technician}}.</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Întocmit</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Verificat</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Aprobat</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{{#manager}}{{name}}{{/manager}}{{^manager}}—{{/manager}}</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{{fireSafetyTechnician.name}}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Cadru tehnic PSI al {{provider.legalName}}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întocmirii: {{issueDate}}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verificării: {{issueDate}}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aprobării: {{issueDate}}</w:t>
            </w:r>
          </w:p>
        </w:tc>
      </w:tr>
      <w:tr>
        <w:trPr/>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9" w:type="dxa"/>
            <w:tcBorders>
              <w:left w:val="single" w:sz="4" w:space="0" w:color="000000"/>
              <w:bottom w:val="single" w:sz="4" w:space="0" w:color="000000"/>
              <w:right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pPr>
        <w:pStyle w:val="Normal"/>
        <w:keepNext w:val="false"/>
        <w:widowControl/>
        <w:numPr>
          <w:ilvl w:val="0"/>
          <w:numId w:val="0"/>
        </w:numPr>
        <w:spacing w:before="0" w:after="0"/>
        <w:ind w:hanging="0" w:left="0"/>
        <w:jc w:val="left"/>
        <w:rPr>
          <w:rStyle w:val="text1"/>
          <w:rFonts w:ascii="Arial" w:hAnsi="Arial" w:eastAsia="Arial" w:cs="Arial"/>
          <w:b w:val="false"/>
          <w:i w:val="false"/>
          <w:color w:val="auto"/>
          <w:spacing w:val="0"/>
          <w:w w:val="100"/>
          <w:sz w:val="2"/>
          <w:szCs w:val="20"/>
          <w:lang w:val="ro-RO"/>
        </w:rPr>
      </w:pPr>
      <w:r>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alibri">
    <w:charset w:val="01"/>
    <w:family w:val="swiss"/>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980"/>
        </w:tabs>
        <w:ind w:left="1980" w:hanging="180"/>
      </w:pPr>
      <w:rPr/>
    </w:lvl>
    <w:lvl w:ilvl="3">
      <w:start w:val="1"/>
      <w:numFmt w:val="decimal"/>
      <w:lvlText w:val="%4."/>
      <w:lvlJc w:val="left"/>
      <w:pPr>
        <w:tabs>
          <w:tab w:val="num" w:pos="2700"/>
        </w:tabs>
        <w:ind w:left="2700" w:hanging="360"/>
      </w:pPr>
      <w:rPr/>
    </w:lvl>
    <w:lvl w:ilvl="4">
      <w:start w:val="1"/>
      <w:numFmt w:val="lowerLetter"/>
      <w:lvlText w:val="%5."/>
      <w:lvlJc w:val="left"/>
      <w:pPr>
        <w:tabs>
          <w:tab w:val="num" w:pos="3420"/>
        </w:tabs>
        <w:ind w:left="3420" w:hanging="360"/>
      </w:pPr>
      <w:rPr/>
    </w:lvl>
    <w:lvl w:ilvl="5">
      <w:start w:val="1"/>
      <w:numFmt w:val="lowerRoman"/>
      <w:lvlText w:val="%6."/>
      <w:lvlJc w:val="right"/>
      <w:pPr>
        <w:tabs>
          <w:tab w:val="num" w:pos="4140"/>
        </w:tabs>
        <w:ind w:left="4140" w:hanging="180"/>
      </w:pPr>
      <w:rPr/>
    </w:lvl>
    <w:lvl w:ilvl="6">
      <w:start w:val="1"/>
      <w:numFmt w:val="decimal"/>
      <w:lvlText w:val="%7."/>
      <w:lvlJc w:val="left"/>
      <w:pPr>
        <w:tabs>
          <w:tab w:val="num" w:pos="4860"/>
        </w:tabs>
        <w:ind w:left="4860" w:hanging="360"/>
      </w:pPr>
      <w:rPr/>
    </w:lvl>
    <w:lvl w:ilvl="7">
      <w:start w:val="1"/>
      <w:numFmt w:val="lowerLetter"/>
      <w:lvlText w:val="%8."/>
      <w:lvlJc w:val="left"/>
      <w:pPr>
        <w:tabs>
          <w:tab w:val="num" w:pos="5580"/>
        </w:tabs>
        <w:ind w:left="5580" w:hanging="360"/>
      </w:pPr>
      <w:rPr/>
    </w:lvl>
    <w:lvl w:ilvl="8">
      <w:start w:val="1"/>
      <w:numFmt w:val="lowerRoman"/>
      <w:lvlText w:val="%9."/>
      <w:lvlJc w:val="right"/>
      <w:pPr>
        <w:tabs>
          <w:tab w:val="num" w:pos="6300"/>
        </w:tabs>
        <w:ind w:left="6300" w:hanging="18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Arial" w:hAnsi="Arial" w:cs="Arial" w:hint="default"/>
        <w:b w:val="false"/>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outlineLvl w:val="0"/>
    </w:pPr>
    <w:rPr>
      <w:b/>
      <w:bCs/>
      <w:sz w:val="20"/>
      <w:szCs w:val="20"/>
      <w:lang w:val="de-DE"/>
    </w:rPr>
  </w:style>
  <w:style w:type="character" w:styleId="WW8Num1z0">
    <w:name w:val="WW8Num1z0"/>
    <w:rPr>
      <w:b/>
    </w:rPr>
  </w:style>
  <w:style w:type="character" w:styleId="WW8Num2z1">
    <w:name w:val="WW8Num2z1"/>
    <w:rPr>
      <w:b/>
    </w:rPr>
  </w:style>
  <w:style w:type="character" w:styleId="WW8Num3z0">
    <w:name w:val="WW8Num3z0"/>
    <w:rPr>
      <w:rFonts w:ascii="Arial" w:hAnsi="Arial" w:eastAsia="Times New Roman" w:cs="Arial"/>
      <w:b/>
      <w:lang w:val="fr-FR"/>
    </w:rPr>
  </w:style>
  <w:style w:type="character" w:styleId="WW8Num3z1">
    <w:name w:val="WW8Num3z1"/>
    <w:rPr>
      <w:rFonts w:ascii="Courier New" w:hAnsi="Courier New" w:cs="Courier New"/>
    </w:rPr>
  </w:style>
  <w:style w:type="character" w:styleId="WW8Num3z2">
    <w:name w:val="WW8Num3z2"/>
    <w:rPr>
      <w:b/>
      <w:lang w:val="fr-FR"/>
    </w:rPr>
  </w:style>
  <w:style w:type="character" w:styleId="WW8Num3z3">
    <w:name w:val="WW8Num3z3"/>
    <w:rPr>
      <w:b/>
      <w:lang w:val="it-IT"/>
    </w:rPr>
  </w:style>
  <w:style w:type="character" w:styleId="WW8Num4z0">
    <w:name w:val="WW8Num4z0"/>
    <w:rPr>
      <w:rFonts w:ascii="Arial" w:hAnsi="Arial" w:eastAsia="Times New Roman" w:cs="Arial"/>
      <w:b/>
    </w:rPr>
  </w:style>
  <w:style w:type="character" w:styleId="WW8Num4z1">
    <w:name w:val="WW8Num4z1"/>
    <w:rPr>
      <w:rFonts w:ascii="Arial" w:hAnsi="Arial" w:eastAsia="Times New Roman" w:cs="Arial"/>
      <w:b/>
      <w:lang w:val="fr-FR"/>
    </w:rPr>
  </w:style>
  <w:style w:type="character" w:styleId="WW8Num4z2">
    <w:name w:val="WW8Num4z2"/>
    <w:rPr>
      <w:rFonts w:ascii="Times New Roman" w:hAnsi="Times New Roman" w:cs="Times New Roman"/>
      <w:b/>
      <w:i w:val="false"/>
      <w:sz w:val="18"/>
      <w:szCs w:val="18"/>
    </w:rPr>
  </w:style>
  <w:style w:type="character" w:styleId="WW8Num4z3">
    <w:name w:val="WW8Num4z3"/>
    <w:rPr>
      <w:b/>
    </w:rPr>
  </w:style>
  <w:style w:type="character" w:styleId="WW8Num4z4">
    <w:name w:val="WW8Num4z4"/>
    <w:rPr>
      <w:rFonts w:ascii="Courier New" w:hAnsi="Courier New" w:cs="Courier New"/>
    </w:rPr>
  </w:style>
  <w:style w:type="character" w:styleId="WW8Num4z5">
    <w:name w:val="WW8Num4z5"/>
    <w:rPr>
      <w:rFonts w:ascii="Wingdings" w:hAnsi="Wingdings" w:cs="Wingdings"/>
    </w:rPr>
  </w:style>
  <w:style w:type="character" w:styleId="WW8Num4z6">
    <w:name w:val="WW8Num4z6"/>
    <w:rPr>
      <w:rFonts w:ascii="Symbol" w:hAnsi="Symbol" w:cs="Symbol"/>
    </w:rPr>
  </w:style>
  <w:style w:type="character" w:styleId="WW8Num5z0">
    <w:name w:val="WW8Num5z0"/>
    <w:rPr>
      <w:rFonts w:ascii="Arial" w:hAnsi="Arial" w:eastAsia="Times New Roman" w:cs="Arial"/>
      <w:b/>
      <w:lang w:val="it-IT"/>
    </w:rPr>
  </w:style>
  <w:style w:type="character" w:styleId="WW8Num5z1">
    <w:name w:val="WW8Num5z1"/>
    <w:rPr>
      <w:rFonts w:ascii="Courier New" w:hAnsi="Courier New" w:cs="Courier New"/>
    </w:rPr>
  </w:style>
  <w:style w:type="character" w:styleId="WW8Num5z2">
    <w:name w:val="WW8Num5z2"/>
    <w:rPr>
      <w:rFonts w:ascii="Wingdings" w:hAnsi="Wingdings" w:cs="Wingdings"/>
    </w:rPr>
  </w:style>
  <w:style w:type="character" w:styleId="WW8Num5z3">
    <w:name w:val="WW8Num5z3"/>
    <w:rPr>
      <w:rFonts w:ascii="Symbol" w:hAnsi="Symbol" w:cs="Symbol"/>
    </w:rPr>
  </w:style>
  <w:style w:type="character" w:styleId="WW8Num6z0">
    <w:name w:val="WW8Num6z0"/>
    <w:rPr>
      <w:rFonts w:ascii="Times New Roman" w:hAnsi="Times New Roman" w:cs="Times New Roman"/>
      <w:b/>
      <w:i w:val="false"/>
      <w:sz w:val="18"/>
      <w:szCs w:val="18"/>
    </w:rPr>
  </w:style>
  <w:style w:type="character" w:styleId="WW8Num6z1">
    <w:name w:val="WW8Num6z1"/>
    <w:rPr>
      <w:b/>
      <w:i w:val="false"/>
      <w:sz w:val="18"/>
      <w:szCs w:val="18"/>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b/>
    </w:rPr>
  </w:style>
  <w:style w:type="character" w:styleId="WW8Num8z0">
    <w:name w:val="WW8Num8z0"/>
    <w:rPr>
      <w:b/>
    </w:rPr>
  </w:style>
  <w:style w:type="character" w:styleId="WW8Num8z2">
    <w:name w:val="WW8Num8z2"/>
    <w:rPr>
      <w:rFonts w:ascii="Times New Roman" w:hAnsi="Times New Roman" w:cs="Times New Roman"/>
      <w:b/>
      <w:i w:val="false"/>
      <w:sz w:val="18"/>
      <w:szCs w:val="18"/>
    </w:rPr>
  </w:style>
  <w:style w:type="character" w:styleId="WW8Num9z0">
    <w:name w:val="WW8Num9z0"/>
    <w:rPr>
      <w:b/>
    </w:rPr>
  </w:style>
  <w:style w:type="character" w:styleId="WW8Num10z0">
    <w:name w:val="WW8Num10z0"/>
    <w:rPr>
      <w:rFonts w:ascii="Arial" w:hAnsi="Arial" w:cs="Arial"/>
      <w:b/>
      <w:i w:val="false"/>
      <w:sz w:val="20"/>
      <w:szCs w:val="20"/>
    </w:rPr>
  </w:style>
  <w:style w:type="character" w:styleId="WW8Num11z0">
    <w:name w:val="WW8Num11z0"/>
    <w:rPr>
      <w:b/>
    </w:rPr>
  </w:style>
  <w:style w:type="character" w:styleId="WW8Num11z1">
    <w:name w:val="WW8Num11z1"/>
    <w:rPr>
      <w:rFonts w:ascii="Arial" w:hAnsi="Arial" w:eastAsia="Times New Roman" w:cs="Arial"/>
    </w:rPr>
  </w:style>
  <w:style w:type="character" w:styleId="WW8Num12z0">
    <w:name w:val="WW8Num12z0"/>
    <w:rPr>
      <w:rFonts w:ascii="Arial" w:hAnsi="Arial" w:eastAsia="Times New Roman" w:cs="Aria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3z0">
    <w:name w:val="WW8Num13z0"/>
    <w:rPr>
      <w:rFonts w:ascii="Times New Roman" w:hAnsi="Times New Roman" w:cs="Times New Roman"/>
      <w:b/>
      <w:i w:val="false"/>
      <w:sz w:val="18"/>
      <w:szCs w:val="18"/>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4z0">
    <w:name w:val="WW8Num14z0"/>
    <w:rPr>
      <w:b/>
    </w:rPr>
  </w:style>
  <w:style w:type="character" w:styleId="WW8Num15z0">
    <w:name w:val="WW8Num15z0"/>
    <w:rPr>
      <w:rFonts w:ascii="Arial" w:hAnsi="Arial" w:eastAsia="Times New Roman" w:cs="Arial"/>
      <w:b/>
    </w:rPr>
  </w:style>
  <w:style w:type="character" w:styleId="WW8Num16z0">
    <w:name w:val="WW8Num16z0"/>
    <w:rPr>
      <w:b/>
    </w:rPr>
  </w:style>
  <w:style w:type="character" w:styleId="WW8Num17z0">
    <w:name w:val="WW8Num17z0"/>
    <w:rPr>
      <w:b/>
    </w:rPr>
  </w:style>
  <w:style w:type="character" w:styleId="WW8Num17z1">
    <w:name w:val="WW8Num17z1"/>
    <w:rPr>
      <w:rFonts w:ascii="Times New Roman" w:hAnsi="Times New Roman" w:cs="Times New Roman"/>
      <w:b/>
      <w:i w:val="false"/>
      <w:sz w:val="18"/>
      <w:szCs w:val="18"/>
    </w:rPr>
  </w:style>
  <w:style w:type="character" w:styleId="DefaultParagraphFont">
    <w:name w:val="Default Paragraph Font"/>
    <w:rPr/>
  </w:style>
  <w:style w:type="character" w:styleId="text1">
    <w:name w:val="text1"/>
    <w:rPr>
      <w:rFonts w:ascii="Arial" w:hAnsi="Arial" w:cs="Arial"/>
      <w:sz w:val="24"/>
      <w:szCs w:val="24"/>
    </w:rPr>
  </w:style>
  <w:style w:type="character" w:styleId="tpa1">
    <w:name w:val="tpa1"/>
    <w:basedOn w:val="DefaultParagraphFont"/>
    <w:rPr/>
  </w:style>
  <w:style w:type="character" w:styleId="li1">
    <w:name w:val="li1"/>
    <w:rPr>
      <w:b/>
      <w:bCs/>
    </w:rPr>
  </w:style>
  <w:style w:type="character" w:styleId="tli1">
    <w:name w:val="tli1"/>
    <w:basedOn w:val="DefaultParagraphFont"/>
    <w:rPr/>
  </w:style>
  <w:style w:type="character" w:styleId="Heading1Char">
    <w:name w:val="Heading 1 Char"/>
    <w:rPr>
      <w:b/>
      <w:bCs/>
      <w:lang w:val="de-DE"/>
    </w:rPr>
  </w:style>
  <w:style w:type="character" w:styleId="PageNumber">
    <w:name w:val="page number"/>
    <w:basedOn w:val="DefaultParagraphFont"/>
    <w:rPr/>
  </w:style>
  <w:style w:type="character" w:styleId="tal1">
    <w:name w:val="tal1"/>
    <w:basedOn w:val="DefaultParagraphFont"/>
    <w:rPr/>
  </w:style>
  <w:style w:type="character" w:styleId="ArticleLabel">
    <w:name w:val="ArticleLabel"/>
    <w:rPr>
      <w:rFonts w:ascii="Arial" w:hAnsi="Arial"/>
      <w:b/>
      <w:sz w:val="20"/>
    </w:rPr>
  </w:style>
  <w:style w:type="character" w:styleId="DashLabel">
    <w:name w:val="DashLabel"/>
    <w:rPr>
      <w:rFonts w:ascii="Arial" w:hAnsi="Arial"/>
      <w:b w:val="false"/>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lang w:val="ro-RO"/>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Articles">
    <w:name w:val="Articles"/>
  </w:style>
  <w:style w:type="numbering" w:styleId="Dashes">
    <w:name w:val="Dash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15</Pages>
  <Words>7459</Words>
  <Characters>46745</Characters>
  <CharactersWithSpaces>53781</CharactersWithSpaces>
  <Paragraphs>467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2024-03-04T10:21:00Z</dcterms:created>
  <dc:creator/>
  <dc:description/>
  <dc:language>ro-RO</dc:language>
  <cp:lastModifiedBy/>
  <cp:lastPrinted>2024-03-04T15:20:00Z</cp:lastPrinted>
  <dcterms:modified xsi:type="dcterms:W3CDTF">2026-10-10T18:47:12Z</dcterms:modified>
  <cp:revision>6</cp:revision>
  <dc:subject/>
  <dc:title/>
</cp:coreProperties>
</file>