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{{f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ecisionNumbers.control}}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 și art. 27 alin. (1) lit. j), ale OMAI 163/2007 – art. 5 lit. b), art. 18 lit. r), art. 149, art. 151 și art. 152 și ale OMAI 135/2023 – art. 8, {{client.representativeName}}, în calitate de {{fire.representativeRoleRunOn}} în 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adrul {{client.legalName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}}, începând cu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data de {{is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propriu al respectării normelor, dispozițiilor și măsurilor de apărare împotriva incendiilor în spațiile utilizate de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Structura cu atribuții de apărare împotriva incendiilor, formată din {{fire.coordinator.name}}, având funcția de {{fire.coordinator.jobTitleRunOn}}, coordonator privind apărarea împotriva incendiilor, și {{fireSafetyTechnician.name}}, cadru tehnic cu atribuții în domeniul apărării împotriva incendiilor, reprezentant al {{provider.legalName}}, întocmește anual un grafic pentru efectuarea controlului de către structura cu atribuții și conducătorii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Periodicitatea planificării controalelor: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și cadrul tehnic – trimestrial, în lunile martie, iunie, septembrie și decembrie, pe tot perimetrul;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t>{{#fire.hasThirdParties}}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și cadrul tehnic – trimestrial, în lunile martie, iunie, septembrie și decembrie, la persoanele juridice care desfășoară activități în spațiile {{client.legalName}};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t>{{/fire.hasThirdParties}}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{{#fire.hasThirdParties}}c){{/fire.hasThirdParties}}{{^fire.hasThirdParties}}b){{/fire.hasThirdParties}}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incendiilor, cu cadrul tehnic, după caz – lunar, controlul fiecărui stingător de incendiu, cu înscrierea rezultatelor în registrul de evidență prevăzut de OMAI 135/2023 – anexa 2{{#fire.hasGasExtinguishers}}, iar la cel mult 6 luni, în lunile iunie și decembrie, verificarea prin cântărire a stingătoarelor cu CO₂ sau agent curat (OMAI 135/2023 – art. 8 alin. (3)){{/fire.hasGasExtinguishers}};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{{#fire.hasThirdParties}}d){{/fire.hasThirdParties}}{{^fire.hasThirdParties}}c){{/fire.hasThirdParties}}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conducătorii locurilor de muncă – zilnic sau pe schimb, la locul de muncă pe care îl conduc (OMAI 163/2007 – art. 149 alin. (1) lit. c));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{{#fire.hasThirdParties}}e){{/fire.hasThirdParties}}{{^fire.hasThirdParties}}d){{/fire.hasThirdParties}}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personalul de execuție – zilnic, la terminarea programului de lucru;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{{#fire.hasThirdParties}}f){{/fire.hasThirdParties}}{{^fire.hasThirdParties}}e){{/fire.hasThirdParties}}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{{client.representativeName}}, în calitate de {{fire.representativeRoleRunOn}}, împreună cu coordonatorul privind apărarea împotriva incendiilor și cadrul tehnic – anual, în luna ianuarie, pe tot perimetrul.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Controlul efectuat se finalizează prin proces-verbal de control, în care se consemnează următoarele: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construcțiile, instalațiile și zonele cuprinse în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constatările rezultate din teren;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și acțiuni de înlăturare a neregulilor și de îmbunătățire 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Constatările se aduc la cunoștința coordonatorului privind apărarea împotriva incendiilor și a cadrului tehnic de către conducătorii locurilor de muncă, lunar.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Coordonatorul privind apărarea împotriva incendiilor și cadrul tehnic centralizează constatările conducătorilor locurilor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Semestrial și anual se analizează de către conducere activitatea de apărare împotriva incendiilor și rezultatul controalelor efectuate de către structurile din subordine.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Structura cu atribuții de apărare împotriva incendiilor asigură întocmirea raportului de analiză, pe care cadrul tehnic îl prezintă conducerii semestrial sau ori de câte ori situația impune (Legea 307/2006 – art. 27 alin. (1) lit. j)), cu următorul conținut: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implementarea noilor prevederi legale;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stadiul îndeplinirii măsurilor stabilite;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deficiențele care se manifestă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concluzii din activitatea de instruire și pregătire a personalului;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relațiile cu terții privind apărarea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asigurarea dotării, calitatea și funcționarea mijloacelor tehnice de apărare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eficiența activităților desfășurate de structurile cu atribuții în domeniul apărării împotriva incendiilor;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propuneri de măsuri pentru îmbunătățirea activității.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Aspectele rezultate în urma analizei se consemnează în procesul-verbal al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Hotărârile ședinței de analiză se aduc la cunoștința persoanelor care întocmesc următoarele documente: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graficul pentru efectuarea controlului;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procesul-verbal de control;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constatările conducătorilor locurilor de muncă;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sinteza lunară întocmită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registrul de evidență a controlului stingătoarelor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rezultatul controlului trimestrial executat de structura cu atribuții;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g)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raportul de analiză a activității de apărare împotriva incendiilor, semestrial și anual;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h)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procesele-verbale ale ședințelor de analiză a activității;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i)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hotărârile adoptate în urma ședinței de analiză.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De ducerea la îndeplinire a prezentei decizii răspund structura cu atribuții și conducătorii locurilor de muncă.</w:t>
      </w:r>
    </w:p>
    <w:p>
      <w:pPr>
        <w:pStyle w:val="Normal"/>
        <w:keepNext w:val="true"/>
        <w:pageBreakBefore w:val="false"/>
        <w:widowControl/>
        <w:numPr>
          <w:ilvl w:val="0"/>
          <w:numId w:val="3"/>
        </w:numPr>
        <w:spacing w:before="120" w:after="120"/>
        <w:ind w:hanging="0" w:left="0"/>
        <w:jc w:val="left"/>
        <w:rPr>
          <w:rFonts w:ascii="Arial" w:hAnsi="Arial" w:cs="Arial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Graficul controlului propriu de verificare a respectării normelor, dispozițiilor și măsurilor de apărare împotriva incendiilor pentru {{client.legalName}} este prezentat în tabelul următor: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37"/>
        <w:gridCol w:w="1365"/>
        <w:gridCol w:w="1365"/>
        <w:gridCol w:w="399"/>
        <w:gridCol w:w="399"/>
        <w:gridCol w:w="399"/>
        <w:gridCol w:w="399"/>
        <w:gridCol w:w="399"/>
        <w:gridCol w:w="398"/>
        <w:gridCol w:w="400"/>
        <w:gridCol w:w="398"/>
        <w:gridCol w:w="400"/>
        <w:gridCol w:w="398"/>
        <w:gridCol w:w="400"/>
        <w:gridCol w:w="399"/>
      </w:tblGrid>
      <w:tr>
        <w:trPr>
          <w:tblHeader w:val="true"/>
        </w:trPr>
        <w:tc>
          <w:tcPr>
            <w:tcW w:w="18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Categoria de persoane care execută controlul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Perioada de control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Sectoare controlate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III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IV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VIII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IX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XII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TRIMESTRIAL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{{#fire.hasThirdParties}}Coordonatorul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TRIMESTRIAL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La persoanele juridice care desfășoară activități în perimetru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X{{/fire.hasThirdParties}}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Coordonatorul privind apărarea împotriva incendiilor, cu cadrul tehnic,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LUNAR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Fiecare stingător de incendiu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{{#fire.hasGasExtinguishers}}Coordonatorul privind apărarea împotriva incendiilor, cu cadrul tehnic, după caz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LA CEL MULT 6 LUNI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Stingătoarele cu CO₂ sau agent curat, prin cântărire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X{{/fire.hasGasExtinguishers}}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Conducătorii locurilor de muncă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 SAU PE SCHIMB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condus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Personalul de execuție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ZILNIC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Zona de lucru, la terminarea programului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</w:tr>
      <w:tr>
        <w:trPr/>
        <w:tc>
          <w:tcPr>
            <w:tcW w:w="18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{{client.representativeRole}}, cu coordonatorul privind apărarea împotriva incendiilor și cadrul tehnic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ANUAL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 tot perimetrul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X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  <w:tc>
          <w:tcPr>
            <w:tcW w:w="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–</w:t>
            </w:r>
          </w:p>
        </w:tc>
      </w:tr>
    </w:tbl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nr. {{fire.deci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sionNumbers.control}}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bCs/>
                <w:lang w:val="fr-FR"/>
              </w:rPr>
            </w:pPr>
            <w:r>
              <w:rPr>
                <w:rFonts w:eastAsia="Arial" w:cs="Arial" w:ascii="Arial" w:hAnsi="Arial"/>
                <w:bCs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Helvetica-Condensed-R">
    <w:altName w:val="Arial Narrow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b/>
      <w:sz w:val="24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spacing w:lineRule="auto" w:line="360"/>
      <w:ind w:firstLine="1440" w:left="0" w:right="0"/>
      <w:jc w:val="right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spacing w:lineRule="auto" w:line="360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right"/>
      <w:outlineLvl w:val="3"/>
    </w:pPr>
    <w:rPr>
      <w:sz w:val="28"/>
      <w:szCs w:val="28"/>
    </w:rPr>
  </w:style>
  <w:style w:type="character" w:styleId="WW8Num2z0">
    <w:name w:val="WW8Num2z0"/>
    <w:rPr>
      <w:rFonts w:ascii="Symbol" w:hAnsi="Symbol" w:cs="Symbol"/>
    </w:rPr>
  </w:style>
  <w:style w:type="character" w:styleId="WW8Num2z1">
    <w:name w:val="WW8Num2z1"/>
    <w:rPr>
      <w:rFonts w:ascii="Courier New" w:hAnsi="Courier New" w:cs="Courier New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/>
  </w:style>
  <w:style w:type="character" w:styleId="WW8Num6z0">
    <w:name w:val="WW8Num6z0"/>
    <w:rPr>
      <w:rFonts w:ascii="Arial" w:hAnsi="Arial" w:eastAsia="Times New Roman" w:cs="Arial"/>
      <w:b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6z3">
    <w:name w:val="WW8Num6z3"/>
    <w:rPr>
      <w:rFonts w:ascii="Symbol" w:hAnsi="Symbol" w:cs="Symbol"/>
    </w:rPr>
  </w:style>
  <w:style w:type="character" w:styleId="WW8Num7z0">
    <w:name w:val="WW8Num7z0"/>
    <w:rPr>
      <w:rFonts w:ascii="Arial" w:hAnsi="Arial" w:eastAsia="Times New Roman" w:cs="Arial"/>
      <w:b/>
    </w:rPr>
  </w:style>
  <w:style w:type="character" w:styleId="WW8Num9z0">
    <w:name w:val="WW8Num9z0"/>
    <w:rPr>
      <w:b/>
    </w:rPr>
  </w:style>
  <w:style w:type="character" w:styleId="WW8Num10z0">
    <w:name w:val="WW8Num10z0"/>
    <w:rPr>
      <w:b/>
    </w:rPr>
  </w:style>
  <w:style w:type="character" w:styleId="WW8Num10z1">
    <w:name w:val="WW8Num10z1"/>
    <w:rPr>
      <w:rFonts w:ascii="Courier New" w:hAnsi="Courier New" w:cs="Courier New"/>
    </w:rPr>
  </w:style>
  <w:style w:type="character" w:styleId="WW8Num10z2">
    <w:name w:val="WW8Num10z2"/>
    <w:rPr>
      <w:rFonts w:ascii="Wingdings" w:hAnsi="Wingdings" w:cs="Wingdings"/>
    </w:rPr>
  </w:style>
  <w:style w:type="character" w:styleId="WW8Num10z3">
    <w:name w:val="WW8Num10z3"/>
    <w:rPr>
      <w:rFonts w:ascii="Symbol" w:hAnsi="Symbol" w:cs="Symbol"/>
    </w:rPr>
  </w:style>
  <w:style w:type="character" w:styleId="WW8Num11z0">
    <w:name w:val="WW8Num11z0"/>
    <w:rPr>
      <w:b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Arial" w:hAnsi="Arial" w:eastAsia="Times New Roman" w:cs="Arial"/>
      <w:b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3z3">
    <w:name w:val="WW8Num13z3"/>
    <w:rPr>
      <w:rFonts w:ascii="Symbol" w:hAnsi="Symbol" w:cs="Symbol"/>
    </w:rPr>
  </w:style>
  <w:style w:type="character" w:styleId="WW8Num14z0">
    <w:name w:val="WW8Num14z0"/>
    <w:rPr>
      <w:rFonts w:ascii="Arial" w:hAnsi="Arial" w:eastAsia="Times New Roman" w:cs="Arial"/>
      <w:b/>
    </w:rPr>
  </w:style>
  <w:style w:type="character" w:styleId="WW8Num14z1">
    <w:name w:val="WW8Num14z1"/>
    <w:rPr/>
  </w:style>
  <w:style w:type="character" w:styleId="WW8Num14z2">
    <w:name w:val="WW8Num14z2"/>
    <w:rPr>
      <w:rFonts w:ascii="Times New Roman" w:hAnsi="Times New Roman" w:eastAsia="Times New Roman" w:cs="Times New Roman"/>
      <w:b w:val="false"/>
    </w:rPr>
  </w:style>
  <w:style w:type="character" w:styleId="WW8Num14z3">
    <w:name w:val="WW8Num14z3"/>
    <w:rPr>
      <w:b/>
    </w:rPr>
  </w:style>
  <w:style w:type="character" w:styleId="WW8Num14z4">
    <w:name w:val="WW8Num14z4"/>
    <w:rPr>
      <w:rFonts w:ascii="Courier New" w:hAnsi="Courier New" w:cs="Courier New"/>
    </w:rPr>
  </w:style>
  <w:style w:type="character" w:styleId="WW8Num14z5">
    <w:name w:val="WW8Num14z5"/>
    <w:rPr>
      <w:rFonts w:ascii="Wingdings" w:hAnsi="Wingdings" w:cs="Wingdings"/>
    </w:rPr>
  </w:style>
  <w:style w:type="character" w:styleId="WW8Num14z6">
    <w:name w:val="WW8Num14z6"/>
    <w:rPr>
      <w:rFonts w:ascii="Symbol" w:hAnsi="Symbol" w:cs="Symbol"/>
    </w:rPr>
  </w:style>
  <w:style w:type="character" w:styleId="WW8Num15z0">
    <w:name w:val="WW8Num15z0"/>
    <w:rPr>
      <w:b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eastAsia="Times New Roman" w:cs="Arial"/>
    </w:rPr>
  </w:style>
  <w:style w:type="character" w:styleId="WW8Num18z1">
    <w:name w:val="WW8Num18z1"/>
    <w:rPr>
      <w:rFonts w:ascii="Courier New" w:hAnsi="Courier New" w:cs="Courier New"/>
    </w:rPr>
  </w:style>
  <w:style w:type="character" w:styleId="WW8Num18z2">
    <w:name w:val="WW8Num18z2"/>
    <w:rPr>
      <w:rFonts w:ascii="Wingdings" w:hAnsi="Wingdings" w:cs="Wingdings"/>
    </w:rPr>
  </w:style>
  <w:style w:type="character" w:styleId="WW8Num18z3">
    <w:name w:val="WW8Num18z3"/>
    <w:rPr>
      <w:rFonts w:ascii="Symbol" w:hAnsi="Symbol" w:cs="Symbol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Arial" w:hAnsi="Arial" w:eastAsia="Times New Roman" w:cs="Arial"/>
      <w:b/>
    </w:rPr>
  </w:style>
  <w:style w:type="character" w:styleId="WW8Num22z0">
    <w:name w:val="WW8Num22z0"/>
    <w:rPr>
      <w:rFonts w:ascii="Symbol" w:hAnsi="Symbol" w:cs="Symbol"/>
    </w:rPr>
  </w:style>
  <w:style w:type="character" w:styleId="WW8Num22z1">
    <w:name w:val="WW8Num22z1"/>
    <w:rPr>
      <w:rFonts w:ascii="Courier New" w:hAnsi="Courier New" w:cs="Courier New"/>
    </w:rPr>
  </w:style>
  <w:style w:type="character" w:styleId="WW8Num22z2">
    <w:name w:val="WW8Num22z2"/>
    <w:rPr>
      <w:rFonts w:ascii="Wingdings" w:hAnsi="Wingdings" w:cs="Wingdings"/>
    </w:rPr>
  </w:style>
  <w:style w:type="character" w:styleId="WW8Num22z3">
    <w:name w:val="WW8Num22z3"/>
    <w:rPr>
      <w:rFonts w:ascii="Symbol" w:hAnsi="Symbol" w:cs="Symbol"/>
    </w:rPr>
  </w:style>
  <w:style w:type="character" w:styleId="WW8Num23z0">
    <w:name w:val="WW8Num23z0"/>
    <w:rPr>
      <w:rFonts w:ascii="Symbol" w:hAnsi="Symbol" w:cs="Symbol"/>
    </w:rPr>
  </w:style>
  <w:style w:type="character" w:styleId="WW8Num23z1">
    <w:name w:val="WW8Num23z1"/>
    <w:rPr>
      <w:rFonts w:ascii="Courier New" w:hAnsi="Courier New" w:cs="Courier New"/>
    </w:rPr>
  </w:style>
  <w:style w:type="character" w:styleId="WW8Num23z2">
    <w:name w:val="WW8Num23z2"/>
    <w:rPr>
      <w:rFonts w:ascii="Wingdings" w:hAnsi="Wingdings" w:cs="Wingdings"/>
    </w:rPr>
  </w:style>
  <w:style w:type="character" w:styleId="WW8Num23z3">
    <w:name w:val="WW8Num23z3"/>
    <w:rPr>
      <w:rFonts w:ascii="Symbol" w:hAnsi="Symbol" w:cs="Symbol"/>
    </w:rPr>
  </w:style>
  <w:style w:type="character" w:styleId="WW8Num24z0">
    <w:name w:val="WW8Num24z0"/>
    <w:rPr>
      <w:rFonts w:ascii="Arial" w:hAnsi="Arial" w:eastAsia="Times New Roman" w:cs="Arial"/>
      <w:b/>
    </w:rPr>
  </w:style>
  <w:style w:type="character" w:styleId="WW8Num25z0">
    <w:name w:val="WW8Num25z0"/>
    <w:rPr/>
  </w:style>
  <w:style w:type="character" w:styleId="WW8Num26z0">
    <w:name w:val="WW8Num26z0"/>
    <w:rPr>
      <w:rFonts w:ascii="Symbol" w:hAnsi="Symbol" w:cs="Symbol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7z0">
    <w:name w:val="WW8Num27z0"/>
    <w:rPr>
      <w:b/>
    </w:rPr>
  </w:style>
  <w:style w:type="character" w:styleId="WW8Num28z0">
    <w:name w:val="WW8Num28z0"/>
    <w:rPr>
      <w:rFonts w:ascii="Wingdings" w:hAnsi="Wingdings" w:cs="Wingdings"/>
      <w:sz w:val="16"/>
    </w:rPr>
  </w:style>
  <w:style w:type="character" w:styleId="WW8Num28z1">
    <w:name w:val="WW8Num28z1"/>
    <w:rPr>
      <w:rFonts w:ascii="Courier New" w:hAnsi="Courier New" w:cs="Courier New"/>
    </w:rPr>
  </w:style>
  <w:style w:type="character" w:styleId="WW8Num28z2">
    <w:name w:val="WW8Num28z2"/>
    <w:rPr>
      <w:rFonts w:ascii="Wingdings" w:hAnsi="Wingdings" w:cs="Wingdings"/>
    </w:rPr>
  </w:style>
  <w:style w:type="character" w:styleId="WW8Num28z3">
    <w:name w:val="WW8Num28z3"/>
    <w:rPr>
      <w:rFonts w:ascii="Symbol" w:hAnsi="Symbol" w:cs="Symbol"/>
    </w:rPr>
  </w:style>
  <w:style w:type="character" w:styleId="WW8NumSt2z0">
    <w:name w:val="WW8NumSt2z0"/>
    <w:rPr>
      <w:rFonts w:ascii="Times New Roman" w:hAnsi="Times New Roman" w:cs="Times New Roman"/>
    </w:rPr>
  </w:style>
  <w:style w:type="character" w:styleId="WW8NumSt3z0">
    <w:name w:val="WW8NumSt3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HeaderChar">
    <w:name w:val="Header Char"/>
    <w:rPr>
      <w:lang w:bidi="ar-SA"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2">
    <w:name w:val="Body Text 2"/>
    <w:basedOn w:val="Normal"/>
    <w:pPr>
      <w:jc w:val="both"/>
    </w:pPr>
    <w:rPr>
      <w:rFonts w:ascii="Helvetica-Condensed-R;Arial Narrow" w:hAnsi="Helvetica-Condensed-R;Arial Narrow" w:cs="Helvetica-Condensed-R;Arial Narrow"/>
      <w:sz w:val="24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TMLPreformatted">
    <w:name w:val="HTML Preformatted"/>
    <w:basedOn w:val="Normal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</w:rPr>
  </w:style>
  <w:style w:type="paragraph" w:styleId="BodyTextIndent2">
    <w:name w:val="Body Text Indent 2"/>
    <w:basedOn w:val="Normal"/>
    <w:pPr>
      <w:spacing w:lineRule="auto" w:line="480" w:before="0" w:after="120"/>
      <w:ind w:hanging="0" w:left="360" w:right="0"/>
    </w:pPr>
    <w:rPr/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3</Pages>
  <Words>927</Words>
  <Characters>6078</Characters>
  <CharactersWithSpaces>6861</CharactersWithSpaces>
  <Paragraphs>172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2024-03-04T10:29:00Z</dcterms:created>
  <dc:creator/>
  <dc:description/>
  <dc:language>ro-RO</dc:language>
  <cp:lastModifiedBy/>
  <cp:lastPrinted>2024-03-04T15:14:00Z</cp:lastPrinted>
  <dcterms:modified xsi:type="dcterms:W3CDTF">2026-10-10T18:47:21Z</dcterms:modified>
  <cp:revision>7</cp:revision>
  <dc:subject/>
  <dc:title/>
</cp:coreProperties>
</file>