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acesteia.</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acesteia.</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alin. (1), H.G. 259/ 2022 – 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 2006 (Legea securității și sănătății în muncă), respectiv cu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 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Salvatorul trebuie să fie calm și competent, să cunoască ce are de făcut. Hemoragia depinde de cantitatea ei, de structură și dimensiunile vasului. O hemoragie sub 500 g este recuperată de organism în timp; între 500 g – 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xml:space="preserve">, nu numai pe cea a vasului lezat. De fiecare dată se desface garoul după ½ – 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 – 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carotidă se poate palpa la nivelul cartilajului tiroid (deasupra traheei), pe marginea exterioară a acestuia, lângă mușchiul sternocleidomastoidian; se face o apăsare de 1 – 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subclaviculară se pensează, se pipăie și se oprește cu policele și 2 – 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acordă o atenție deosebită flictenelor care nu se sparg, ci se conservă. Dacă arsul evoluează bine (fără febră, durere) pansamentul se poate păstra și 10 – 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 – 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 – 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 – 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 – 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 – 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luxația este recentă, adică au trecut maxim 30 – 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atelele folosite la imobilizarea provizorie a unei fracturi trebuie să fie lungi, în așa fel încât să depășească cu 4 – 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recomandă administrarea de lichide bicarbonatate. Contractura musculară de efort (fără cauze neurologice) are o evoluție favorabilă cedând în 3 – 4 zile fără tratament. După 7 – 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prima măsură constă în punerea în repaus a segmentului corporal implicat. Se fac aplicații locale reci (comprese reci, punga cu gheață); se contraindică aplicații calde. Întinderile musculare se vindecă fără sechele în timp scurt (5 – 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aplicații reci 15 – 30 de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Se contraindică masajul; de regulă sunt suficiente 2 – 4 săptămâni pentru o vindecare completă. Imobilizarea segmentară se va menține 10 – 14 zile. După 2 – 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xml:space="preserve">: 30 de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 – 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de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 – 8 secunde, cu frecvența medie de 12 – 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 – 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este o variantă a asfixiei, cauzată de umplerea căilor respiratorii cu apă sau alt lichid. Pentru acordarea ajutorului, salvatorul are la dispoziție cel mult 4 – 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 – 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 – 140 de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 – 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 – 5% sau înălbitor, lenjeria și vesela se fierb timp de 15 – 20 de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 – 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 – 20 de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și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