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4093"/>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4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4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4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true"/>
        <w:widowControl/>
        <w:spacing w:before="0" w:after="0"/>
        <w:ind w:hanging="0"/>
        <w:jc w:val="left"/>
        <w:rPr>
          <w:rFonts w:ascii="Arial" w:hAnsi="Arial" w:cs="Arial"/>
          <w:b w:val="false"/>
          <w:sz w:val="8"/>
        </w:rPr>
      </w:pPr>
      <w:r>
        <w:rPr>
          <w:rFonts w:eastAsia="Arial" w:cs="Arial" w:ascii="Arial" w:hAnsi="Arial"/>
          <w:b w:val="false"/>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6"/>
        <w:gridCol w:w="5801"/>
        <w:gridCol w:w="2848"/>
      </w:tblGrid>
      <w:tr>
        <w:trPr>
          <w:tblHeader w:val="true"/>
          <w:trHeight w:val="181" w:hRule="atLeast"/>
        </w:trPr>
        <w:tc>
          <w:tcPr>
            <w:tcW w:w="706" w:type="dxa"/>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8649" w:type="dxa"/>
            <w:gridSpan w:val="2"/>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Calendarul general de execuție</w:t>
            </w:r>
          </w:p>
        </w:tc>
      </w:tr>
      <w:tr>
        <w:trPr>
          <w:trHeight w:val="467"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începerii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r>
        <w:trPr>
          <w:trHeight w:val="530"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finalizării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bl>
    <w:p>
      <w:pPr>
        <w:pStyle w:val="Normal"/>
        <w:widowControl/>
        <w:spacing w:before="0" w:after="0"/>
        <w:ind w:hanging="0"/>
        <w:jc w:val="left"/>
        <w:rPr>
          <w:rFonts w:ascii="Arial" w:hAnsi="Arial" w:cs="Arial"/>
          <w:b/>
          <w:sz w:val="2"/>
          <w:lang w:val="pt-BR"/>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tabs>
          <w:tab w:val="clear" w:pos="720"/>
          <w:tab w:val="left" w:pos="567" w:leader="none"/>
        </w:tabs>
        <w:spacing w:before="24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0"/>
        <w:jc w:val="left"/>
        <w:rPr>
          <w:rFonts w:ascii="Arial" w:hAnsi="Arial" w:cs="Arial"/>
          <w:sz w:val="2"/>
          <w:szCs w:val="16"/>
        </w:rPr>
      </w:pPr>
      <w:r>
        <w:rPr>
          <w:rFonts w:eastAsia="Arial" w:cs="Arial" w:ascii="Arial" w:hAnsi="Arial"/>
          <w:color w:val="auto"/>
          <w:spacing w:val="0"/>
          <w:w w:val="100"/>
          <w:sz w:val="2"/>
          <w:szCs w:val="20"/>
          <w:lang w:val="ro-RO"/>
        </w:rPr>
      </w:r>
    </w:p>
    <w:tbl>
      <w:tblPr>
        <w:tblW w:w="5000" w:type="pct"/>
        <w:jc w:val="left"/>
        <w:tblInd w:w="55" w:type="dxa"/>
        <w:tblLayout w:type="fixed"/>
        <w:tblCellMar>
          <w:top w:w="55" w:type="dxa"/>
          <w:left w:w="55" w:type="dxa"/>
          <w:bottom w:w="55" w:type="dxa"/>
          <w:right w:w="55" w:type="dxa"/>
        </w:tblCellMar>
      </w:tblPr>
      <w:tblGrid>
        <w:gridCol w:w="1559"/>
        <w:gridCol w:w="7796"/>
      </w:tblGrid>
      <w:tr>
        <w:trPr>
          <w:tblHeader w:val="true"/>
        </w:trPr>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Capitol / Subcapitol</w:t>
            </w:r>
          </w:p>
        </w:tc>
        <w:tc>
          <w:tcPr>
            <w:tcW w:w="7796"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Denumire capitol</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INTRODUCERE ÎN SISTEMUL DE EVALUARE D.P.D.V. AL SECURITĂȚII ȘI SĂNĂTĂȚII ÎN MUNCĂ</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METODEI ELABORATE DE I.N.C.D.P.M. BUCUREȘTI PENTRU EVALUAREA RISCURILOR DE ACCIDENTARE ȘI ÎMBOLNǍVIRE PROFESIONALǍ</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PREMISE TEORETICE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DESCRIEREA METODEI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APLICAREA METODEI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{{client.legalName}}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FORMAREA ECHIPELOR (COLECTIVULUI) DE EVALUARE A RISCURILOR DE ACCIDENTARE ȘI/ SAU ÎMBOLNĂVIRE PROFESIONALĂ PENTRU {{client.legalName}}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1</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LISTA DE IDENTIFICARE A FACTORILOR DE RISC</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2</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LISTA DE CONSECINȚE POSIBILE ALE ACȚIUNII FACTORILOR DE RISC ASUPRA ORGANISMULUI UMAN</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3</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SCALA DE COTARE A GRAVITĂȚII ȘI PROBABILITĂȚII CONSECINȚELOR ACȚIUNII FACTORILOR DE RISC ASUPRA ORGANISMULUI UMAN</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4</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GRILA DE EVALUARE A RISCURILOR (COMBINAȚIE ÎNTRE GRAVITATEA CONSECINȚELOR ȘI PROBABILITATEA PRODUCERII LOR)</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5</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SCALA DE ÎNCADRARE A NIVELURILOR DE RISC/ SECURITATE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6</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ORDINEA IERARHICĂ A MĂSURILOR DE PREVENIRE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BIBLIOGRAFIE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UTILIZAREA METODEI I.N.C.D.P.M. BUCUREȘTI PENTRU EVALUAREA RISCURILOR DE ACCIDENTARE ȘI ÎMBOLNǍVIRE PROFESIONALǍ</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{{#riskAssessment.evaluations}}V.{{roman}}</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DE ACCIDENTARE ȘI ÎMBOLNĂVIRE PROFESIONALĂ PENTRU {{heading}}{{/riskAssessment.evaluations}}</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CONCLUZII GENERALE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CONCLUZIILE EVALUĂRII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RECOMANDĂRI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LUCRĂTORILOR ȘI REVIZUIREA EVALUĂRII</w:t>
            </w:r>
          </w:p>
        </w:tc>
      </w:tr>
    </w:tbl>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două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două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ÎMBOLNǍVIRE PROFESIONALǍ</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w:t>
        <w:tab/>
        <w:tab/>
        <w:t xml:space="preserve">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color w:val="auto"/>
          <w:spacing w:val="0"/>
          <w:w w:val="100"/>
          <w:sz w:val="20"/>
          <w:szCs w:val="20"/>
          <w:lang w:val="ro-RO"/>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32pt;height:32pt;mso-wrap-distance-right:0pt" filled="f" o:ole="">
            <v:imagedata r:id="rId3" o:title=""/>
          </v:shape>
          <o:OLEObject Type="Embed" ProgID="Equation.2" ShapeID="ole_rId2" DrawAspect="Content" ObjectID="_884921021" r:id="rId2"/>
        </w:objec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699421883"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consecintă,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există,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să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risc </w:t>
        <w:tab/>
        <w:t></w:t>
        <w:tab/>
        <w:t>–</w:t>
        <w:tab/>
        <w:t>S</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risc </w:t>
        <w:tab/>
        <w:t>–</w:t>
        <w:tab/>
        <w:t>S</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risc</w:t>
        <w:tab/>
        <w:t xml:space="preserve">            </w:t>
        <w:tab/>
        <w:t>–</w:t>
        <w:tab/>
        <w:t>S</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risc</w:t>
        <w:tab/>
        <w:t></w:t>
        <w:tab/>
        <w:t>–</w:t>
        <w:tab/>
        <w:t>S</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risc</w:t>
        <w:tab/>
        <w:t></w:t>
        <w:tab/>
        <w:t>–</w:t>
        <w:tab/>
        <w:t>S</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risc</w:t>
        <w:tab/>
        <w:t></w:t>
        <w:tab/>
        <w:t>– S</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risc</w:t>
        <w:tab/>
        <w:t></w:t>
        <w:tab/>
        <w:t>–</w:t>
        <w:tab/>
        <w:t>S</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Reprezentînd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1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diagonală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CEN-815/85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diagonală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să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4: </w:t>
      </w: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877916392" r:id="rId12"/>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un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ADMINISTRATOR societății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(Anexa 6)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(Anexa 6),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(Anexa 6).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(Anexa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 – 7</w:t>
        <w:tab/>
        <w:t xml:space="preserve">   dacă se operează cu nivelurile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autonată a datelor.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 {{workplaceManager.name}}, {{workplaceManager.jobTitle}}</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Locurile în care se desfășoară activitatea:</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{{kind}} „{{name}}”: {{address}}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analiza ce are ca scop îmbunătățirea continuă a condițiilor de muncă, echipa de evaluare a riscului trebuie privită ca un colectiv care desfășoară o activitate semipermanenta a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performantelor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tbl>
      <w:tblPr>
        <w:tblW w:w="5000" w:type="pct"/>
        <w:jc w:val="left"/>
        <w:tblInd w:w="55" w:type="dxa"/>
        <w:tblLayout w:type="fixed"/>
        <w:tblCellMar>
          <w:top w:w="55" w:type="dxa"/>
          <w:left w:w="55" w:type="dxa"/>
          <w:bottom w:w="55" w:type="dxa"/>
          <w:right w:w="55" w:type="dxa"/>
        </w:tblCellMar>
      </w:tblPr>
      <w:tblGrid>
        <w:gridCol w:w="4092"/>
        <w:gridCol w:w="5263"/>
      </w:tblGrid>
      <w:tr>
        <w:trPr>
          <w:tblHeader w:val="true"/>
        </w:trPr>
        <w:tc>
          <w:tcPr>
            <w:tcW w:w="409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Numele și prenumele</w:t>
            </w:r>
          </w:p>
        </w:tc>
        <w:tc>
          <w:tcPr>
            <w:tcW w:w="5263"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Funcția (încadrarea în muncă)</w:t>
            </w:r>
          </w:p>
        </w:tc>
      </w:tr>
      <w:tr>
        <w:trPr/>
        <w:tc>
          <w:tcPr>
            <w:tcW w:w="40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{{#evaluationTeam}}{{name}}</w:t>
            </w:r>
          </w:p>
        </w:tc>
        <w:tc>
          <w:tcPr>
            <w:tcW w:w="5263"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{{jobTitle}}, {{client.legalName}}{{/evaluationTeam}}</w:t>
            </w:r>
          </w:p>
        </w:tc>
      </w:tr>
      <w:tr>
        <w:trPr/>
        <w:tc>
          <w:tcPr>
            <w:tcW w:w="40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{{specialist.name}}</w:t>
            </w:r>
          </w:p>
        </w:tc>
        <w:tc>
          <w:tcPr>
            <w:tcW w:w="5263"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{{specialist.professionalTitle}}, {{provider.legalName}}</w:t>
            </w:r>
          </w:p>
        </w:tc>
      </w:tr>
    </w:tbl>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niveluilui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Aceasta metoda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analiza sistematica cuprinde, pe lângă etapele propriu-zese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widowControl/>
        <w:tabs>
          <w:tab w:val="clear" w:pos="720"/>
          <w:tab w:val="center" w:pos="4586" w:leader="none"/>
          <w:tab w:val="right" w:pos="9173" w:leader="none"/>
        </w:tabs>
        <w:spacing w:before="0" w:after="0"/>
        <w:ind w:hanging="0"/>
        <w:jc w:val="left"/>
        <w:rPr>
          <w:rFonts w:ascii="Arial" w:hAnsi="Arial" w:cs="Arial"/>
          <w:spacing w:val="28"/>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819"/>
        <w:gridCol w:w="8536"/>
      </w:tblGrid>
      <w:tr>
        <w:trPr>
          <w:tblHeader w:val="true"/>
        </w:trPr>
        <w:tc>
          <w:tcPr>
            <w:tcW w:w="819"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w:t>
            </w:r>
          </w:p>
        </w:tc>
        <w:tc>
          <w:tcPr>
            <w:tcW w:w="8536"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EXECUTANT</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ACȚIUNI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Executare defectuoasă de operații: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Comenzi;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Manevre;</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Poziționări, fixări, asamblări;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Reglaje;</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Utilizare greșită a mijloacelor de protecție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Nesincronizări de operații:</w:t>
            </w:r>
          </w:p>
          <w:p>
            <w:pPr>
              <w:pStyle w:val="Normal"/>
              <w:widowControl/>
              <w:numPr>
                <w:ilvl w:val="0"/>
                <w:numId w:val="17"/>
              </w:numPr>
              <w:spacing w:before="0" w:after="0"/>
              <w:rPr>
                <w:rFonts w:ascii="Arial" w:hAnsi="Arial" w:cs="Arial"/>
                <w:sz w:val="18"/>
                <w:szCs w:val="18"/>
              </w:rPr>
            </w:pPr>
            <w:r>
              <w:rPr>
                <w:rFonts w:eastAsia="Arial" w:cs="Arial" w:ascii="Arial" w:hAnsi="Arial"/>
                <w:color w:val="auto"/>
                <w:spacing w:val="0"/>
                <w:w w:val="100"/>
                <w:sz w:val="20"/>
                <w:szCs w:val="20"/>
                <w:lang w:val="ro-RO"/>
              </w:rPr>
              <w:t>Întârzieri;</w:t>
            </w:r>
          </w:p>
          <w:p>
            <w:pPr>
              <w:pStyle w:val="Normal"/>
              <w:widowControl/>
              <w:numPr>
                <w:ilvl w:val="0"/>
                <w:numId w:val="17"/>
              </w:numPr>
              <w:spacing w:before="0" w:after="0"/>
              <w:rPr>
                <w:rFonts w:ascii="Arial" w:hAnsi="Arial" w:cs="Arial"/>
                <w:b/>
                <w:sz w:val="18"/>
                <w:szCs w:val="18"/>
              </w:rPr>
            </w:pPr>
            <w:r>
              <w:rPr>
                <w:rFonts w:eastAsia="Arial" w:cs="Arial" w:ascii="Arial" w:hAnsi="Arial"/>
                <w:color w:val="auto"/>
                <w:spacing w:val="0"/>
                <w:w w:val="100"/>
                <w:sz w:val="20"/>
                <w:szCs w:val="20"/>
                <w:lang w:val="ro-RO"/>
              </w:rPr>
              <w:t>Devansări.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Efectuare de operații neprevăzute prin sarcina de muncă</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Pornirea echipamentelor tehnice;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întreruperea funcționării echipamentelor tehnice;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alimentarea sau oprirea alimentării cu energie (curent electric, fluide energetice etc.);</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deplasări, staționări în zone periculoase;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deplasări cu pericol de cădere: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de la același nivel:</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împiedicare;</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de la înălțime: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pășire în gol;</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alunecare.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Comunicări accidentogene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OMISIUNI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Omiterea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Neutilizarea mijloacelor de protecție</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B.</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SARCINA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CONȚINUT NECORESPUNZĂTOR AL SARCINII DE MUNCĂ ÎN RAPORT CU CERINȚELE DE SECURITATE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Operații, reguli, procedee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Absența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Metode de muncă necorespunzătoare (succesiune greșită a operațiilor)</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SARCINA SUB/ SUPRADIMENSIONATĂ ÎN RAPORT CU CAPACITATEA EXECUTANTULUI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Solicitare fizică:</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efort static;</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poziții de lucru forțate sau vicioase;</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efort dinamic.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Solicitare psihică:</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ritm de muncă mare;</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decizii dificile în timp scurt;</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operații repetitive de ciclu scurt sau extrem de complex etc.;</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monotonia muncii.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MIJLOACE DE PRODUCȚIE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MECANIC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1.1.Mișcări periculoase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1.1.1.Mișcări funcționale ale echipamentelor tehnice: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organe de mașini în mișcare;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curgeri de fluide;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deplasări ale mijloacelor de transport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1.1.2.Autodeclanșări sau autoblocări contraindicate ale mișcărilor funcționale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ale echipamentelor tehnice sau ale fluidelor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1.1.3.Deplasări sub efectul gravitației:</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rostogolire;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rulare pe roți;</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răsturnare;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cădere liberă;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scurgere liberă;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deversare;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surpare, prăbușire;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scufundare.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1.1.4.Deplasări sub efectul propulsiei:</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proiectare de corpuri sau particule;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deviere de la traiectoria normală;</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balans;</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recul;</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șocuri excesive;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jet, erupție.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Suprafețe sau contururi periculoase: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înțepătoare;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tăioase;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alunecoase;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abrasive;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adezive.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Recipiente sub presiune</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1.4. Vibrații excesive ale echipamentelor tehnice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TERMIC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2.1.Temperatura ridicată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2.2.Temperatura coborâtă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2.3. Flăcări, flame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ELECTRIC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3.1.Curentul electric:</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atingere directă;</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atingere indirectă;</w:t>
            </w:r>
          </w:p>
          <w:p>
            <w:pPr>
              <w:pStyle w:val="Normal"/>
              <w:widowControl/>
              <w:numPr>
                <w:ilvl w:val="0"/>
                <w:numId w:val="26"/>
              </w:numPr>
              <w:spacing w:before="0" w:after="0"/>
              <w:rPr>
                <w:rFonts w:ascii="Arial" w:hAnsi="Arial" w:cs="Arial"/>
                <w:b/>
                <w:sz w:val="18"/>
                <w:szCs w:val="18"/>
              </w:rPr>
            </w:pPr>
            <w:r>
              <w:rPr>
                <w:rFonts w:eastAsia="Arial" w:cs="Arial" w:ascii="Arial" w:hAnsi="Arial"/>
                <w:color w:val="auto"/>
                <w:spacing w:val="0"/>
                <w:w w:val="100"/>
                <w:sz w:val="20"/>
                <w:szCs w:val="20"/>
                <w:lang w:val="ro-RO"/>
              </w:rPr>
              <w:t>tensiune de pas.</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4.1.Substanțe toxice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4.2.Substanțe caustice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4.3.Substanțe inflamabile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4.4.Substanțe explozive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4.5.Substanțe cancerigene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4.6.Substanțe radioactive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4.7.Substanțe mutagene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5.1.Culturi sau preparate cu microorganisme:</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27"/>
              </w:numPr>
              <w:spacing w:before="0" w:after="0"/>
              <w:rPr>
                <w:rFonts w:ascii="Arial" w:hAnsi="Arial" w:cs="Arial"/>
                <w:b/>
                <w:sz w:val="18"/>
                <w:szCs w:val="18"/>
              </w:rPr>
            </w:pPr>
            <w:r>
              <w:rPr>
                <w:rFonts w:eastAsia="Arial" w:cs="Arial" w:ascii="Arial" w:hAnsi="Arial"/>
                <w:color w:val="auto"/>
                <w:spacing w:val="0"/>
                <w:w w:val="100"/>
                <w:sz w:val="20"/>
                <w:szCs w:val="20"/>
                <w:lang w:val="ro-RO"/>
              </w:rPr>
              <w:t>protozoare.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5.2.Plante periculoase (exemplu: ciuperci otrăvitoare)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5.3.Animale periculoase (exemplu: șerpi veninoși)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MEDIU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FIZIC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Temperatura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Umiditatea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Curenți de aer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Presiunea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1.5. Aeroionizarea aerului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1.6. Suprapresiune în adâncimea apelor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1.7. Zgomot</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1.8. Ultrasunete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1.9. Vibrații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1.10. Iluminat:</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nivel de iluminare scăzut;</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strălucire;</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pâlpâire.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 Radiații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1.11.1. Electromagnetice: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infraroșii;</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ultraviolete;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microunde;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înaltă;</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medie;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joasă;</w:t>
            </w:r>
          </w:p>
          <w:p>
            <w:pPr>
              <w:pStyle w:val="Normal"/>
              <w:widowControl/>
              <w:numPr>
                <w:ilvl w:val="0"/>
                <w:numId w:val="30"/>
              </w:numPr>
              <w:spacing w:before="0" w:after="0"/>
              <w:rPr>
                <w:rFonts w:ascii="Arial" w:hAnsi="Arial" w:cs="Arial"/>
                <w:b/>
                <w:sz w:val="18"/>
                <w:szCs w:val="18"/>
              </w:rPr>
            </w:pPr>
            <w:r>
              <w:rPr>
                <w:rFonts w:eastAsia="Arial" w:cs="Arial" w:ascii="Arial" w:hAnsi="Arial"/>
                <w:color w:val="auto"/>
                <w:spacing w:val="0"/>
                <w:w w:val="100"/>
                <w:sz w:val="20"/>
                <w:szCs w:val="20"/>
                <w:lang w:val="ro-RO"/>
              </w:rPr>
              <w:t>laser.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1.11.2. Ionizante:</w:t>
            </w:r>
          </w:p>
          <w:p>
            <w:pPr>
              <w:pStyle w:val="Normal"/>
              <w:widowControl/>
              <w:numPr>
                <w:ilvl w:val="0"/>
                <w:numId w:val="31"/>
              </w:numPr>
              <w:spacing w:before="0" w:after="0"/>
              <w:rPr>
                <w:rFonts w:ascii="Arial" w:hAnsi="Arial" w:cs="Arial"/>
                <w:bCs/>
                <w:sz w:val="18"/>
                <w:szCs w:val="18"/>
              </w:rPr>
            </w:pPr>
            <w:r>
              <w:rPr>
                <w:rFonts w:eastAsia="Arial" w:cs="Arial" w:ascii="Arial" w:hAnsi="Arial"/>
                <w:bCs/>
                <w:color w:val="auto"/>
                <w:spacing w:val="0"/>
                <w:w w:val="100"/>
                <w:sz w:val="20"/>
                <w:szCs w:val="20"/>
                <w:lang w:val="ro-RO"/>
              </w:rPr>
              <w:t>alfa;</w:t>
            </w:r>
          </w:p>
          <w:p>
            <w:pPr>
              <w:pStyle w:val="Normal"/>
              <w:widowControl/>
              <w:numPr>
                <w:ilvl w:val="0"/>
                <w:numId w:val="31"/>
              </w:numPr>
              <w:spacing w:before="0" w:after="0"/>
              <w:rPr>
                <w:rFonts w:ascii="Arial" w:hAnsi="Arial" w:cs="Arial"/>
                <w:bCs/>
                <w:sz w:val="18"/>
                <w:szCs w:val="18"/>
              </w:rPr>
            </w:pPr>
            <w:r>
              <w:rPr>
                <w:rFonts w:eastAsia="Arial" w:cs="Arial" w:ascii="Arial" w:hAnsi="Arial"/>
                <w:bCs/>
                <w:color w:val="auto"/>
                <w:spacing w:val="0"/>
                <w:w w:val="100"/>
                <w:sz w:val="20"/>
                <w:szCs w:val="20"/>
                <w:lang w:val="ro-RO"/>
              </w:rPr>
              <w:t>beta;</w:t>
            </w:r>
          </w:p>
          <w:p>
            <w:pPr>
              <w:pStyle w:val="Normal"/>
              <w:widowControl/>
              <w:numPr>
                <w:ilvl w:val="0"/>
                <w:numId w:val="31"/>
              </w:numPr>
              <w:spacing w:before="0" w:after="0"/>
              <w:rPr>
                <w:rFonts w:ascii="Arial" w:hAnsi="Arial" w:cs="Arial"/>
                <w:b/>
                <w:sz w:val="18"/>
                <w:szCs w:val="18"/>
              </w:rPr>
            </w:pPr>
            <w:r>
              <w:rPr>
                <w:rFonts w:eastAsia="Arial" w:cs="Arial" w:ascii="Arial" w:hAnsi="Arial"/>
                <w:bCs/>
                <w:color w:val="auto"/>
                <w:spacing w:val="0"/>
                <w:w w:val="100"/>
                <w:sz w:val="20"/>
                <w:szCs w:val="20"/>
                <w:lang w:val="ro-RO"/>
              </w:rPr>
              <w:t>gama.</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 Potențial electrostatic</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 xml:space="preserve">1.13. Calamități naturale </w:t>
            </w:r>
            <w:r>
              <w:rPr>
                <w:rFonts w:eastAsia="Arial" w:cs="Arial" w:ascii="Arial" w:hAnsi="Arial"/>
                <w:color w:val="auto"/>
                <w:spacing w:val="0"/>
                <w:w w:val="100"/>
                <w:sz w:val="20"/>
                <w:szCs w:val="20"/>
                <w:lang w:val="ro-RO"/>
              </w:rPr>
              <w:t>(trăsnet, inundație, vânt, grindină, viscol, alunecări, surpări,</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prăbușiri de teren sau copaci, avalanșe, seisme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 Pulberi pneumoconiogene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Gaze, vapori, aerosoli toxici sau caustici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Pulberi în suspensie în aer, gaze sau vapori inflamabili sau explozivi</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 Microorganisme în suspensie în aer:</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32"/>
              </w:numPr>
              <w:spacing w:before="0" w:after="0"/>
              <w:rPr>
                <w:rFonts w:ascii="Arial" w:hAnsi="Arial" w:cs="Arial"/>
                <w:b/>
                <w:sz w:val="18"/>
                <w:szCs w:val="18"/>
              </w:rPr>
            </w:pPr>
            <w:r>
              <w:rPr>
                <w:rFonts w:eastAsia="Arial" w:cs="Arial" w:ascii="Arial" w:hAnsi="Arial"/>
                <w:color w:val="auto"/>
                <w:spacing w:val="0"/>
                <w:w w:val="100"/>
                <w:sz w:val="20"/>
                <w:szCs w:val="20"/>
                <w:lang w:val="ro-RO"/>
              </w:rPr>
              <w:t>protozoare etc.</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CARACTERUL SPECIAL AL MEDIULUI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subteran;</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acvatic;</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subacvatic;</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mlăștinos;</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aerian;</w:t>
            </w:r>
          </w:p>
          <w:p>
            <w:pPr>
              <w:pStyle w:val="Normal"/>
              <w:widowControl/>
              <w:numPr>
                <w:ilvl w:val="0"/>
                <w:numId w:val="33"/>
              </w:numPr>
              <w:spacing w:before="0" w:after="0"/>
              <w:rPr>
                <w:rFonts w:ascii="Arial" w:hAnsi="Arial" w:cs="Arial"/>
                <w:b/>
                <w:sz w:val="18"/>
                <w:szCs w:val="18"/>
              </w:rPr>
            </w:pPr>
            <w:r>
              <w:rPr>
                <w:rFonts w:eastAsia="Arial" w:cs="Arial" w:ascii="Arial" w:hAnsi="Arial"/>
                <w:color w:val="auto"/>
                <w:spacing w:val="0"/>
                <w:w w:val="100"/>
                <w:sz w:val="20"/>
                <w:szCs w:val="20"/>
                <w:lang w:val="ro-RO"/>
              </w:rPr>
              <w:t>cosmic etc.</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POȘ 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tblHeader w:val="true"/>
          <w:trHeight w:val="196" w:hRule="atLeast"/>
          <w:cantSpli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trHeight w:val="168"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trHeight w:val="140"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trHeight w:val="122"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5"/>
              <w:jc w:val="center"/>
              <w:rPr>
                <w:rFonts w:ascii="Arial" w:hAnsi="Arial" w:cs="Arial"/>
                <w:b/>
                <w:sz w:val="16"/>
              </w:rPr>
            </w:pPr>
            <w:r>
              <w:rPr>
                <w:rFonts w:eastAsia="Arial" w:cs="Arial" w:ascii="Arial" w:hAnsi="Arial"/>
                <w:b/>
                <w:color w:val="auto"/>
                <w:spacing w:val="0"/>
                <w:w w:val="100"/>
                <w:sz w:val="16"/>
                <w:szCs w:val="16"/>
                <w:lang w:val="ro-RO"/>
              </w:rPr>
              <w:t>Coapsă</w:t>
            </w:r>
          </w:p>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left="113" w:right="113"/>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trHeight w:val="62" w:hRule="atLeast"/>
          <w:cantSpli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trHeight w:val="257" w:hRule="atLeast"/>
          <w:cantSpli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trHeight w:val="14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7"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17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bl>
    <w:p>
      <w:pPr>
        <w:pStyle w:val="Normal"/>
        <w:keepNext w:val="true"/>
        <w:widowControl/>
        <w:spacing w:before="0" w:after="0"/>
        <w:ind w:hanging="0"/>
        <w:jc w:val="left"/>
        <w:rPr>
          <w:spacing w:val="28"/>
          <w:sz w:val="8"/>
          <w:szCs w:val="20"/>
        </w:rPr>
      </w:pPr>
      <w:r>
        <w:rPr>
          <w:rFonts w:eastAsia="Arial" w:cs="Arial" w:ascii="Arial" w:hAnsi="Arial"/>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46"/>
        <w:gridCol w:w="567"/>
        <w:gridCol w:w="566"/>
        <w:gridCol w:w="380"/>
        <w:gridCol w:w="577"/>
        <w:gridCol w:w="569"/>
        <w:gridCol w:w="570"/>
        <w:gridCol w:w="760"/>
        <w:gridCol w:w="569"/>
        <w:gridCol w:w="571"/>
        <w:gridCol w:w="570"/>
        <w:gridCol w:w="380"/>
        <w:gridCol w:w="380"/>
        <w:gridCol w:w="570"/>
        <w:gridCol w:w="449"/>
        <w:gridCol w:w="482"/>
        <w:gridCol w:w="595"/>
        <w:gridCol w:w="377"/>
        <w:gridCol w:w="380"/>
        <w:gridCol w:w="381"/>
        <w:gridCol w:w="380"/>
        <w:gridCol w:w="381"/>
        <w:gridCol w:w="382"/>
      </w:tblGrid>
      <w:tr>
        <w:trPr>
          <w:tblHeader w:val="true"/>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start="20"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321"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4379"/>
        <w:gridCol w:w="875"/>
        <w:gridCol w:w="1289"/>
        <w:gridCol w:w="701"/>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4379"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c>
          <w:tcPr>
            <w:tcW w:w="701" w:type="dxa"/>
            <w:tcBorders/>
          </w:tcPr>
          <w:p>
            <w:pPr>
              <w:pStyle w:val="Normal"/>
              <w:widowControl/>
              <w:spacing w:lineRule="atLeast" w:line="0" w:before="0" w:after="0"/>
              <w:rPr>
                <w:sz w:val="2"/>
              </w:rPr>
            </w:pPr>
            <w:r>
              <w:rPr>
                <w:rFonts w:eastAsia="Arial" w:cs="Arial" w:ascii="Arial" w:hAnsi="Arial"/>
                <w:color w:val="auto"/>
                <w:spacing w:val="0"/>
                <w:w w:val="100"/>
                <w:sz w:val="20"/>
                <w:szCs w:val="20"/>
                <w:lang w:val="ro-RO"/>
              </w:rPr>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4379"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4379"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4379"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4379"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4379"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true"/>
        <w:widowControl/>
        <w:spacing w:before="0" w:after="0"/>
        <w:ind w:hanging="0"/>
        <w:jc w:val="left"/>
        <w:rPr>
          <w:rFonts w:ascii="Arial" w:hAnsi="Arial" w:cs="Arial"/>
          <w:spacing w:val="28"/>
          <w:sz w:val="2"/>
          <w:szCs w:val="20"/>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2312"/>
        <w:gridCol w:w="7043"/>
      </w:tblGrid>
      <w:tr>
        <w:trPr>
          <w:tblHeader w:val="true"/>
          <w:trHeight w:val="50" w:hRule="atLeast"/>
        </w:trPr>
        <w:tc>
          <w:tcPr>
            <w:tcW w:w="9355" w:type="dxa"/>
            <w:gridSpan w:val="2"/>
            <w:tcBorders>
              <w:top w:val="single" w:sz="12" w:space="0" w:color="000000"/>
              <w:left w:val="single" w:sz="12" w:space="0" w:color="000000"/>
              <w:bottom w:val="single" w:sz="6" w:space="0" w:color="000000"/>
              <w:right w:val="single" w:sz="12" w:space="0" w:color="000000"/>
            </w:tcBorders>
            <w:shd w:color="auto" w:fill="D9D9D9"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PRIMARE (măsuri de ordinul întâi)</w:t>
            </w:r>
          </w:p>
        </w:tc>
      </w:tr>
      <w:tr>
        <w:trPr>
          <w:trHeight w:val="822"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6985" distB="6985" distL="6350" distR="6350" simplePos="0" relativeHeight="13" behindDoc="0" locked="0" layoutInCell="1" allowOverlap="1" wp14:anchorId="6FA19AD0">
                      <wp:simplePos x="0" y="0"/>
                      <wp:positionH relativeFrom="column">
                        <wp:posOffset>169545</wp:posOffset>
                      </wp:positionH>
                      <wp:positionV relativeFrom="paragraph">
                        <wp:posOffset>108585</wp:posOffset>
                      </wp:positionV>
                      <wp:extent cx="333375" cy="344170"/>
                      <wp:effectExtent l="6350" t="6985" r="6350" b="6985"/>
                      <wp:wrapNone/>
                      <wp:docPr id="7" name="Line 757"/>
                      <a:graphic xmlns:a="http://schemas.openxmlformats.org/drawingml/2006/main">
                        <a:graphicData uri="http://schemas.microsoft.com/office/word/2010/wordprocessingShape">
                          <wps:wsp>
                            <wps:cNvSpPr/>
                            <wps:spPr>
                              <a:xfrm>
                                <a:off x="0" y="0"/>
                                <a:ext cx="333360" cy="34416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55pt,35.6pt" stroked="t" o:allowincell="t" style="position:absolute" wp14:anchorId="6FA19AD0">
                      <v:stroke color="black" weight="12600" joinstyle="round" endcap="flat"/>
                      <v:fill o:detectmouseclick="t" on="false"/>
                      <w10:wrap type="none"/>
                    </v:line>
                  </w:pict>
                </mc:Fallback>
              </mc:AlternateContent>
              <mc:AlternateContent>
                <mc:Choice Requires="wps">
                  <w:drawing>
                    <wp:anchor distT="6985" distB="6350" distL="6350" distR="6985" simplePos="0" relativeHeight="14" behindDoc="0" locked="0" layoutInCell="1" allowOverlap="1" wp14:anchorId="60239CDE">
                      <wp:simplePos x="0" y="0"/>
                      <wp:positionH relativeFrom="column">
                        <wp:posOffset>169545</wp:posOffset>
                      </wp:positionH>
                      <wp:positionV relativeFrom="paragraph">
                        <wp:posOffset>108585</wp:posOffset>
                      </wp:positionV>
                      <wp:extent cx="330835" cy="330835"/>
                      <wp:effectExtent l="6350" t="6985" r="6985" b="6350"/>
                      <wp:wrapNone/>
                      <wp:docPr id="8" name="Line 756"/>
                      <a:graphic xmlns:a="http://schemas.openxmlformats.org/drawingml/2006/main">
                        <a:graphicData uri="http://schemas.microsoft.com/office/word/2010/wordprocessingShape">
                          <wps:wsp>
                            <wps:cNvSpPr/>
                            <wps:spPr>
                              <a:xfrm flipH="1">
                                <a:off x="0" y="0"/>
                                <a:ext cx="330840" cy="33084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35pt,34.55pt" stroked="t" o:allowincell="t" style="position:absolute;flip:x" wp14:anchorId="60239CDE">
                      <v:stroke color="black" weight="12600" joinstyle="round" endcap="flat"/>
                      <v:fill o:detectmouseclick="t" on="false"/>
                      <w10:wrap type="none"/>
                    </v:line>
                  </w:pict>
                </mc:Fallback>
              </mc:AlternateContent>
              <mc:AlternateContent>
                <mc:Choice Requires="wps">
                  <w:drawing>
                    <wp:anchor distT="24765" distB="25400" distL="0" distR="5080" simplePos="0" relativeHeight="15" behindDoc="0" locked="0" layoutInCell="1" allowOverlap="1" wp14:anchorId="594ABA3D">
                      <wp:simplePos x="0" y="0"/>
                      <wp:positionH relativeFrom="column">
                        <wp:posOffset>640080</wp:posOffset>
                      </wp:positionH>
                      <wp:positionV relativeFrom="paragraph">
                        <wp:posOffset>290195</wp:posOffset>
                      </wp:positionV>
                      <wp:extent cx="219710" cy="635"/>
                      <wp:effectExtent l="0" t="24765" r="5080" b="25400"/>
                      <wp:wrapNone/>
                      <wp:docPr id="9" name="Line 752"/>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22.85pt" to="67.65pt,22.85pt" stroked="t" o:allowincell="t" style="position:absolute" wp14:anchorId="594ABA3D">
                      <v:stroke color="black" weight="9360" startarrow="block" startarrowwidth="narrow" startarrowlength="medium" joinstyle="round" endcap="flat"/>
                      <v:fill o:detectmouseclick="t" on="false"/>
                      <w10:wrap type="none"/>
                    </v:line>
                  </w:pict>
                </mc:Fallback>
              </mc:AlternateContent>
              <mc:AlternateContent>
                <mc:Choice Requires="wps">
                  <w:drawing>
                    <wp:anchor distT="25400" distB="24765" distL="5080" distR="0" simplePos="0" relativeHeight="17" behindDoc="0" locked="0" layoutInCell="1" allowOverlap="1" wp14:anchorId="7E75C392">
                      <wp:simplePos x="0" y="0"/>
                      <wp:positionH relativeFrom="column">
                        <wp:posOffset>640080</wp:posOffset>
                      </wp:positionH>
                      <wp:positionV relativeFrom="paragraph">
                        <wp:posOffset>185420</wp:posOffset>
                      </wp:positionV>
                      <wp:extent cx="219710" cy="635"/>
                      <wp:effectExtent l="5080" t="25400" r="0" b="24765"/>
                      <wp:wrapNone/>
                      <wp:docPr id="10" name="Line 748"/>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14.6pt" to="67.65pt,14.6pt" stroked="t" o:allowincell="t" style="position:absolute" wp14:anchorId="7E75C392">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ELIMINAREA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MĂSURILE TREBUIE SĂ ACȚIONEZE DIRECT ASUPRA SURSEI DE FACTORI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(PREVENIRE INTRINSECĂ)</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SECUNDARE (măsuri de ordinul doi)</w:t>
            </w:r>
          </w:p>
        </w:tc>
      </w:tr>
      <w:tr>
        <w:trPr>
          <w:trHeight w:val="1353"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8" behindDoc="0" locked="0" layoutInCell="1" allowOverlap="1" wp14:anchorId="2121E247">
                      <wp:simplePos x="0" y="0"/>
                      <wp:positionH relativeFrom="column">
                        <wp:posOffset>640080</wp:posOffset>
                      </wp:positionH>
                      <wp:positionV relativeFrom="paragraph">
                        <wp:posOffset>455295</wp:posOffset>
                      </wp:positionV>
                      <wp:extent cx="219710" cy="635"/>
                      <wp:effectExtent l="0" t="25400" r="5080" b="24765"/>
                      <wp:wrapNone/>
                      <wp:docPr id="11" name="Line 753"/>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2121E247">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0" behindDoc="0" locked="0" layoutInCell="1" allowOverlap="1" wp14:anchorId="775B298D">
                      <wp:simplePos x="0" y="0"/>
                      <wp:positionH relativeFrom="column">
                        <wp:posOffset>640080</wp:posOffset>
                      </wp:positionH>
                      <wp:positionV relativeFrom="paragraph">
                        <wp:posOffset>366395</wp:posOffset>
                      </wp:positionV>
                      <wp:extent cx="219710" cy="635"/>
                      <wp:effectExtent l="5080" t="24765" r="0" b="25400"/>
                      <wp:wrapNone/>
                      <wp:docPr id="12" name="Line 749"/>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775B298D">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FACTORII DE RISC PERSISTĂ, DAR PRIN MĂSURI DE PROTECȚIE COLECTIVĂ SE EVITĂ SAU DIMINUEAZĂ ACȚIUNEA LOR ASUPRA OMULUI</w:t>
            </w:r>
          </w:p>
        </w:tc>
      </w:tr>
      <w:tr>
        <w:trPr>
          <w:trHeight w:val="192"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TERȚIARE (măsuri de ordinul trei)</w:t>
            </w:r>
          </w:p>
        </w:tc>
      </w:tr>
      <w:tr>
        <w:trPr>
          <w:trHeight w:val="1227"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7" behindDoc="0" locked="0" layoutInCell="1" allowOverlap="1" wp14:anchorId="74D5CE18">
                      <wp:simplePos x="0" y="0"/>
                      <wp:positionH relativeFrom="column">
                        <wp:posOffset>640080</wp:posOffset>
                      </wp:positionH>
                      <wp:positionV relativeFrom="paragraph">
                        <wp:posOffset>455295</wp:posOffset>
                      </wp:positionV>
                      <wp:extent cx="219710" cy="635"/>
                      <wp:effectExtent l="0" t="25400" r="5080" b="24765"/>
                      <wp:wrapNone/>
                      <wp:docPr id="13" name="Line 754"/>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74D5CE18">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1" behindDoc="0" locked="0" layoutInCell="1" allowOverlap="1" wp14:anchorId="39C8F8D8">
                      <wp:simplePos x="0" y="0"/>
                      <wp:positionH relativeFrom="column">
                        <wp:posOffset>640080</wp:posOffset>
                      </wp:positionH>
                      <wp:positionV relativeFrom="paragraph">
                        <wp:posOffset>366395</wp:posOffset>
                      </wp:positionV>
                      <wp:extent cx="219710" cy="635"/>
                      <wp:effectExtent l="5080" t="24765" r="0" b="25400"/>
                      <wp:wrapNone/>
                      <wp:docPr id="14" name="Line 750"/>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39C8F8D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EVITAREA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INTERACȚIUNEA DINTRE FACTORII DE RISC ȘI OM SE EVITĂ PRIN MĂSURI ORGANIZATORICE ȘI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REGLEMENTĂRI PRIVIND COMPORTAMENTUL</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CUATERNARE (măsuri de ordinul patru)</w:t>
            </w:r>
          </w:p>
        </w:tc>
      </w:tr>
      <w:tr>
        <w:trPr>
          <w:trHeight w:val="1353" w:hRule="atLeast"/>
        </w:trPr>
        <w:tc>
          <w:tcPr>
            <w:tcW w:w="2312" w:type="dxa"/>
            <w:tcBorders>
              <w:top w:val="single" w:sz="6" w:space="0" w:color="000000"/>
              <w:left w:val="single" w:sz="12" w:space="0" w:color="000000"/>
              <w:bottom w:val="single" w:sz="12" w:space="0" w:color="000000"/>
              <w:right w:val="single" w:sz="6" w:space="0" w:color="000000"/>
            </w:tcBorders>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9" behindDoc="0" locked="0" layoutInCell="1" allowOverlap="1" wp14:anchorId="4D4E06FD">
                      <wp:simplePos x="0" y="0"/>
                      <wp:positionH relativeFrom="column">
                        <wp:posOffset>640080</wp:posOffset>
                      </wp:positionH>
                      <wp:positionV relativeFrom="paragraph">
                        <wp:posOffset>455295</wp:posOffset>
                      </wp:positionV>
                      <wp:extent cx="219710" cy="635"/>
                      <wp:effectExtent l="0" t="25400" r="5080" b="24765"/>
                      <wp:wrapNone/>
                      <wp:docPr id="15" name="Line 755"/>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4D4E06FD">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2" behindDoc="0" locked="0" layoutInCell="1" allowOverlap="1" wp14:anchorId="48287428">
                      <wp:simplePos x="0" y="0"/>
                      <wp:positionH relativeFrom="column">
                        <wp:posOffset>640080</wp:posOffset>
                      </wp:positionH>
                      <wp:positionV relativeFrom="paragraph">
                        <wp:posOffset>366395</wp:posOffset>
                      </wp:positionV>
                      <wp:extent cx="219710" cy="635"/>
                      <wp:effectExtent l="5080" t="24765" r="0" b="25400"/>
                      <wp:wrapNone/>
                      <wp:docPr id="16" name="Line 751"/>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4828742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OMULUI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LIMITAREA ACȚIUNII FACTORILOR DE RISC SE FACE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PRIN PROTECȚIE INDIVIDUALĂ</w:t>
            </w:r>
          </w:p>
        </w:tc>
      </w:tr>
    </w:tbl>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tbl>
      <w:tblPr>
        <w:tblW w:w="5000" w:type="pct"/>
        <w:jc w:val="left"/>
        <w:tblInd w:w="55" w:type="dxa"/>
        <w:tblLayout w:type="fixed"/>
        <w:tblCellMar>
          <w:top w:w="55" w:type="dxa"/>
          <w:left w:w="55" w:type="dxa"/>
          <w:bottom w:w="55" w:type="dxa"/>
          <w:right w:w="55" w:type="dxa"/>
        </w:tblCellMar>
      </w:tblPr>
      <w:tblGrid>
        <w:gridCol w:w="825"/>
        <w:gridCol w:w="2752"/>
        <w:gridCol w:w="5778"/>
      </w:tblGrid>
      <w:tr>
        <w:trPr>
          <w:tblHeader w:val="true"/>
        </w:trPr>
        <w:tc>
          <w:tcPr>
            <w:tcW w:w="82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7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 evaluat</w:t>
            </w:r>
          </w:p>
        </w:tc>
        <w:tc>
          <w:tcPr>
            <w:tcW w:w="577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Conținutul componentei sistemului de muncă evaluat</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EXECUTANT</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{{workSystem.executant}}</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SARCINA DE MUNCĂ</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{{workSystem.workTask}}</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MIJLOACELE DE PRODUCȚIE</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{{workSystem.meansOfProduction}}</w:t>
            </w:r>
          </w:p>
        </w:tc>
      </w:tr>
      <w:tr>
        <w:trPr/>
        <w:tc>
          <w:tcPr>
            <w:tcW w:w="82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MEDIUL DE MUNCĂ</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{{workSystem.workEnvironment}}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tbl>
      <w:tblPr>
        <w:tblW w:w="5000" w:type="pct"/>
        <w:jc w:val="left"/>
        <w:tblInd w:w="55" w:type="dxa"/>
        <w:tblLayout w:type="fixed"/>
        <w:tblCellMar>
          <w:top w:w="55" w:type="dxa"/>
          <w:left w:w="55" w:type="dxa"/>
          <w:bottom w:w="55" w:type="dxa"/>
          <w:right w:w="55" w:type="dxa"/>
        </w:tblCellMar>
      </w:tblPr>
      <w:tblGrid>
        <w:gridCol w:w="1760"/>
        <w:gridCol w:w="3192"/>
        <w:gridCol w:w="1871"/>
        <w:gridCol w:w="2532"/>
      </w:tblGrid>
      <w:tr>
        <w:trPr/>
        <w:tc>
          <w:tcPr>
            <w:tcW w:w="17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UNITATEA:</w:t>
            </w:r>
          </w:p>
        </w:tc>
        <w:tc>
          <w:tcPr>
            <w:tcW w:w="319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{{client.legalName}}</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PERSOANE EXPUSE:</w:t>
            </w:r>
          </w:p>
        </w:tc>
        <w:tc>
          <w:tcPr>
            <w:tcW w:w="253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{{exposedPersons}}</w:t>
            </w:r>
          </w:p>
        </w:tc>
      </w:tr>
      <w:tr>
        <w:trPr/>
        <w:tc>
          <w:tcPr>
            <w:tcW w:w="1760"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w:t>
            </w:r>
          </w:p>
        </w:tc>
        <w:tc>
          <w:tcPr>
            <w:tcW w:w="31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1871"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DURATA EXPUNERII:</w:t>
            </w:r>
          </w:p>
        </w:tc>
        <w:tc>
          <w:tcPr>
            <w:tcW w:w="2532" w:type="dxa"/>
            <w:tcBorders>
              <w:left w:val="single" w:sz="4" w:space="0" w:color="000000"/>
              <w:bottom w:val="single" w:sz="4" w:space="0" w:color="000000"/>
              <w:right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{{exposure}}</w:t>
            </w:r>
          </w:p>
        </w:tc>
      </w:tr>
      <w:tr>
        <w:trPr/>
        <w:tc>
          <w:tcPr>
            <w:tcW w:w="1760"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POSTUL DE LUCRU:</w:t>
            </w:r>
          </w:p>
        </w:tc>
        <w:tc>
          <w:tcPr>
            <w:tcW w:w="31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1871"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ECHIPA DE EVALUARE:</w:t>
            </w:r>
          </w:p>
        </w:tc>
        <w:tc>
          <w:tcPr>
            <w:tcW w:w="2532" w:type="dxa"/>
            <w:tcBorders>
              <w:left w:val="single" w:sz="4" w:space="0" w:color="000000"/>
              <w:bottom w:val="single" w:sz="4" w:space="0" w:color="000000"/>
              <w:right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{{#evaluationTeam}}{{name}} ({{jobTitle}}), {{/evaluationTeam}}{{specialist.name}} ({{specialist.professionalTitle}})</w:t>
            </w:r>
          </w:p>
        </w:tc>
      </w:tr>
    </w:tbl>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Niciunul dintre factorii de risc identificați nu depășește nivelul de risc 3, astfel încât fișa nu cuprinde factori de risc din domeniul inacceptabil.</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{{#unacceptable}}{{$index}}.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{{measures}}{{/unacceptable}}</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ultima veriga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ca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ca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RECOMANDARI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cunoștința a conducătorului locului de muncă despre orice defecțiune tehnică sau altă situație care constituie un pericol de accidentare sau îmbolnăvire profesională;</w:t>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tru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tru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tru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facilitatilor prevăzute de legislația în vigoare în cazul temperaturilor extreme: perioada caldă(apa minerală carbogazoasă - 2-4 l/ persoana / zi); perioada rece ceai - 0.5 l / persoana/zi);</w:t>
      </w:r>
    </w:p>
    <w:p>
      <w:pPr>
        <w:pStyle w:val="Normal"/>
        <w:keepNext w:val="tru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tru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keepNext w:val="tru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start="2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11748</Words>
  <Characters>67720</Characters>
  <CharactersWithSpaces>77381</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2026-10-01T22:26:38Z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