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7"/>
        <w:keepNext w:val="true"/>
        <w:widowControl/>
        <w:numPr>
          <w:ilvl w:val="6"/>
          <w:numId w:val="1"/>
        </w:numPr>
        <w:spacing w:before="0" w:after="0"/>
        <w:ind w:hanging="0" w:left="0"/>
        <w:jc w:val="center"/>
        <w:rPr>
          <w:rFonts w:ascii="Arial" w:hAnsi="Arial" w:cs="Arial"/>
          <w:b/>
          <w:sz w:val="20"/>
          <w:szCs w:val="20"/>
        </w:rPr>
      </w:pPr>
      <w:r>
        <w:rPr>
          <w:rFonts w:eastAsia="Arial" w:cs="Arial" w:ascii="Arial" w:hAnsi="Arial"/>
          <w:b/>
          <w:color w:val="auto"/>
          <w:spacing w:val="0"/>
          <w:w w:val="100"/>
          <w:sz w:val="24"/>
          <w:szCs w:val="20"/>
          <w:lang w:val="ro-RO"/>
        </w:rPr>
        <w:t>DECIZIA</w:t>
      </w:r>
    </w:p>
    <w:p>
      <w:pPr>
        <w:pStyle w:val="Heading7"/>
        <w:widowControl/>
        <w:numPr>
          <w:ilvl w:val="6"/>
          <w:numId w:val="1"/>
        </w:numPr>
        <w:spacing w:before="0" w:after="240"/>
        <w:ind w:hanging="0" w:left="0"/>
        <w:jc w:val="center"/>
        <w:rPr>
          <w:rFonts w:ascii="Arial" w:hAnsi="Arial" w:cs="Arial"/>
          <w:sz w:val="20"/>
          <w:szCs w:val="20"/>
        </w:rPr>
      </w:pPr>
      <w:r>
        <w:rPr>
          <w:rFonts w:eastAsia="Arial" w:cs="Arial" w:ascii="Arial" w:hAnsi="Arial"/>
          <w:color w:val="auto"/>
          <w:spacing w:val="0"/>
          <w:w w:val="100"/>
          <w:sz w:val="20"/>
          <w:szCs w:val="20"/>
          <w:lang w:val="ro-RO"/>
        </w:rPr>
        <w:t>Nr. {{</w:t>
      </w:r>
      <w:r>
        <w:rPr>
          <w:rStyle w:val="tpa1"/>
          <w:rFonts w:eastAsia="Arial" w:cs="Arial" w:ascii="Arial" w:hAnsi="Arial"/>
          <w:color w:val="auto"/>
          <w:spacing w:val="0"/>
          <w:w w:val="100"/>
          <w:sz w:val="20"/>
          <w:szCs w:val="20"/>
          <w:lang w:val="ro-RO"/>
        </w:rPr>
        <w:t>fire.d</w:t>
      </w:r>
      <w:r>
        <w:rPr>
          <w:rFonts w:eastAsia="Arial" w:cs="Arial" w:ascii="Arial" w:hAnsi="Arial"/>
          <w:color w:val="auto"/>
          <w:spacing w:val="0"/>
          <w:w w:val="100"/>
          <w:sz w:val="20"/>
          <w:szCs w:val="20"/>
          <w:lang w:val="ro-RO"/>
        </w:rPr>
        <w:t>ecisionNumbers.openFire}} din {{issueDate}}</w:t>
      </w:r>
    </w:p>
    <w:p>
      <w:pPr>
        <w:pStyle w:val="Normal"/>
        <w:widowControl/>
        <w:spacing w:before="0" w:after="120"/>
        <w:ind w:hanging="0" w:right="0"/>
        <w:jc w:val="left"/>
        <w:rPr>
          <w:rFonts w:ascii="Arial" w:hAnsi="Arial" w:cs="Arial"/>
          <w:sz w:val="20"/>
          <w:szCs w:val="20"/>
        </w:rPr>
      </w:pPr>
      <w:r>
        <w:rPr>
          <w:rFonts w:eastAsia="Arial" w:cs="Arial" w:ascii="Arial" w:hAnsi="Arial"/>
          <w:color w:val="auto"/>
          <w:spacing w:val="0"/>
          <w:w w:val="100"/>
          <w:sz w:val="20"/>
          <w:szCs w:val="20"/>
          <w:lang w:val="ro-RO"/>
        </w:rPr>
        <w:t xml:space="preserve">În baza prevederilor Legii 307/2006 – art. 19 alin. (1) lit. a) și ale OMAI 163/2007 – art. 5 lit. b), art. 17 lit. c) și art. 97–105, {{client.representativeName}}, în calitate de {{fire.representativeRoleRunOn}} în cadrul</w:t>
      </w:r>
      <w:r>
        <w:rPr>
          <w:rFonts w:eastAsia="Arial" w:cs="Arial" w:ascii="Arial" w:hAnsi="Arial"/>
          <w:bCs/>
          <w:color w:val="auto"/>
          <w:spacing w:val="0"/>
          <w:w w:val="100"/>
          <w:sz w:val="20"/>
          <w:szCs w:val="20"/>
          <w:lang w:val="ro-RO"/>
        </w:rPr>
        <w:t/>
      </w:r>
      <w:r>
        <w:rPr>
          <w:rFonts w:eastAsia="Arial" w:cs="Arial" w:ascii="Arial" w:hAnsi="Arial"/>
          <w:color w:val="auto"/>
          <w:spacing w:val="0"/>
          <w:w w:val="100"/>
          <w:sz w:val="20"/>
          <w:szCs w:val="20"/>
          <w:lang w:val="ro-RO"/>
        </w:rPr>
        <w:t xml:space="preserve"/>
      </w:r>
      <w:r>
        <w:rPr>
          <w:rStyle w:val="do1"/>
          <w:rFonts w:eastAsia="Arial" w:cs="Arial" w:ascii="Arial" w:hAnsi="Arial"/>
          <w:b w:val="false"/>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{{clien</w:t>
      </w:r>
      <w:r>
        <w:rPr>
          <w:rFonts w:eastAsia="Arial" w:cs="Arial" w:ascii="Arial" w:hAnsi="Arial"/>
          <w:color w:val="auto"/>
          <w:spacing w:val="0"/>
          <w:w w:val="100"/>
          <w:sz w:val="20"/>
          <w:szCs w:val="20"/>
          <w:lang w:val="ro-RO"/>
        </w:rPr>
        <w:t xml:space="preserve">t.legalName}}, începând </w:t>
      </w:r>
      <w:r>
        <w:rPr>
          <w:rFonts w:eastAsia="Arial" w:cs="Arial" w:ascii="Arial" w:hAnsi="Arial"/>
          <w:color w:val="auto"/>
          <w:spacing w:val="0"/>
          <w:w w:val="100"/>
          <w:sz w:val="20"/>
          <w:szCs w:val="20"/>
          <w:lang w:val="ro-RO"/>
        </w:rPr>
        <w:t>cu data de {{is</w:t>
      </w:r>
      <w:r>
        <w:rPr>
          <w:rFonts w:eastAsia="Arial" w:cs="Arial" w:ascii="Arial" w:hAnsi="Arial"/>
          <w:color w:val="auto"/>
          <w:spacing w:val="0"/>
          <w:w w:val="100"/>
          <w:sz w:val="20"/>
          <w:szCs w:val="20"/>
          <w:lang w:val="ro-RO"/>
        </w:rPr>
        <w:t>sueDate}},</w:t>
      </w:r>
    </w:p>
    <w:p>
      <w:pPr>
        <w:pStyle w:val="Normal"/>
        <w:keepNext w:val="true"/>
        <w:widowControl/>
        <w:spacing w:before="240" w:after="120"/>
        <w:ind w:hanging="0"/>
        <w:jc w:val="center"/>
        <w:rPr>
          <w:rFonts w:ascii="Arial" w:hAnsi="Arial" w:cs="Arial"/>
          <w:b/>
          <w:sz w:val="20"/>
          <w:szCs w:val="20"/>
        </w:rPr>
      </w:pPr>
      <w:r>
        <w:rPr>
          <w:rFonts w:eastAsia="Arial" w:cs="Arial" w:ascii="Arial" w:hAnsi="Arial"/>
          <w:b/>
          <w:color w:val="auto"/>
          <w:spacing w:val="0"/>
          <w:w w:val="100"/>
          <w:sz w:val="20"/>
          <w:szCs w:val="20"/>
          <w:lang w:val="ro-RO"/>
        </w:rPr>
        <w:t>DECIDE:</w:t>
      </w:r>
    </w:p>
    <w:p>
      <w:pPr>
        <w:pStyle w:val="Normal"/>
        <w:keepNext/>
        <w:widowControl/>
        <w:spacing w:before="0" w:after="120"/>
        <w:ind w:hanging="0" w:right="0"/>
        <w:jc w:val="left"/>
        <w:rPr>
          <w:rStyle w:val="PageNumber"/>
          <w:rFonts w:ascii="Arial" w:hAnsi="Arial" w:cs="Arial"/>
          <w:bCs/>
          <w:sz w:val="20"/>
          <w:szCs w:val="20"/>
        </w:rPr>
      </w:pPr>
      <w:r>
        <w:rPr>
          <w:rFonts w:eastAsia="Arial" w:cs="Arial" w:ascii="Arial" w:hAnsi="Arial"/>
          <w:color w:val="auto"/>
          <w:spacing w:val="0"/>
          <w:w w:val="100"/>
          <w:sz w:val="20"/>
          <w:szCs w:val="20"/>
          <w:lang w:val="ro-RO"/>
        </w:rPr>
        <w:t>Modul de reglementare a lucrărilor cu foc deschis în spațiile {{clie</w:t>
      </w:r>
      <w:r>
        <w:rPr>
          <w:rStyle w:val="PageNumber"/>
          <w:rFonts w:eastAsia="Arial" w:cs="Arial" w:ascii="Arial" w:hAnsi="Arial"/>
          <w:color w:val="auto"/>
          <w:spacing w:val="0"/>
          <w:w w:val="100"/>
          <w:sz w:val="20"/>
          <w:szCs w:val="20"/>
          <w:lang w:val="ro-RO"/>
        </w:rPr>
        <w:t xml:space="preserve">nt.legalName}}, </w:t>
      </w:r>
      <w:r>
        <w:rPr>
          <w:rFonts w:eastAsia="Arial" w:cs="Arial" w:ascii="Arial" w:hAnsi="Arial"/>
          <w:color w:val="auto"/>
          <w:spacing w:val="0"/>
          <w:w w:val="100"/>
          <w:sz w:val="20"/>
          <w:szCs w:val="20"/>
          <w:lang w:val="ro-RO"/>
        </w:rPr>
        <w:t>astfel</w:t>
      </w:r>
      <w:r>
        <w:rPr>
          <w:rStyle w:val="PageNumber"/>
          <w:rFonts w:eastAsia="Arial" w:cs="Arial" w:ascii="Arial" w:hAnsi="Arial"/>
          <w:bCs/>
          <w:color w:val="auto"/>
          <w:spacing w:val="0"/>
          <w:w w:val="100"/>
          <w:sz w:val="20"/>
          <w:szCs w:val="20"/>
          <w:lang w:val="ro-RO"/>
        </w:rPr>
        <w:t>:</w:t>
      </w:r>
    </w:p>
    <w:p>
      <w:pPr>
        <w:pStyle w:val="Normal"/>
        <w:widowControl/>
        <w:numPr>
          <w:ilvl w:val="0"/>
          <w:numId w:val="3"/>
        </w:numPr>
        <w:spacing w:before="120" w:after="60"/>
        <w:ind w:hanging="0" w:left="0"/>
        <w:jc w:val="left"/>
        <w:rPr>
          <w:rFonts w:ascii="Arial" w:hAnsi="Arial" w:cs="Arial"/>
          <w:sz w:val="20"/>
          <w:szCs w:val="20"/>
        </w:rPr>
      </w:pPr>
      <w:r>
        <w:rPr>
          <w:rFonts w:eastAsia="Arial" w:cs="Arial" w:ascii="Arial" w:hAnsi="Arial"/>
          <w:color w:val="auto"/>
          <w:spacing w:val="0"/>
          <w:w w:val="100"/>
          <w:sz w:val="20"/>
          <w:szCs w:val="20"/>
          <w:lang w:val="ro-RO"/>
        </w:rPr>
        <w:t>Conform OMAI 163/2007 – art. 98 alin. (1) lit. c), de executarea lucrărilor cu foc des</w:t>
      </w:r>
      <w:r>
        <w:rPr>
          <w:rFonts w:eastAsia="Arial" w:cs="Arial" w:ascii="Arial" w:hAnsi="Arial"/>
          <w:bCs/>
          <w:color w:val="auto"/>
          <w:spacing w:val="0"/>
          <w:w w:val="100"/>
          <w:sz w:val="20"/>
          <w:szCs w:val="20"/>
          <w:lang w:val="ro-RO"/>
        </w:rPr>
        <w:t>chis în cadrul</w:t>
      </w:r>
      <w:r>
        <w:rPr>
          <w:rFonts w:eastAsia="Arial" w:cs="Arial" w:ascii="Arial" w:hAnsi="Arial"/>
          <w:color w:val="auto"/>
          <w:spacing w:val="0"/>
          <w:w w:val="100"/>
          <w:sz w:val="20"/>
          <w:szCs w:val="20"/>
          <w:lang w:val="ro-RO"/>
        </w:rPr>
        <w:t xml:space="preserve"> {{client.legalN</w:t>
      </w:r>
      <w:r>
        <w:rPr>
          <w:rStyle w:val="PageNumber"/>
          <w:rFonts w:eastAsia="Arial" w:cs="Arial" w:ascii="Arial" w:hAnsi="Arial"/>
          <w:color w:val="auto"/>
          <w:spacing w:val="0"/>
          <w:w w:val="100"/>
          <w:sz w:val="20"/>
          <w:szCs w:val="20"/>
          <w:lang w:val="ro-RO"/>
        </w:rPr>
        <w:t>ame}} răspunde {</w:t>
      </w:r>
      <w:r>
        <w:rPr>
          <w:rFonts w:eastAsia="Arial" w:cs="Arial" w:ascii="Arial" w:hAnsi="Arial"/>
          <w:color w:val="auto"/>
          <w:spacing w:val="0"/>
          <w:w w:val="100"/>
          <w:sz w:val="20"/>
          <w:szCs w:val="20"/>
          <w:lang w:val="ro-RO"/>
        </w:rPr>
        <w:t>{fire.c</w:t>
      </w:r>
      <w:r>
        <w:rPr>
          <w:rStyle w:val="PageNumber"/>
          <w:rFonts w:eastAsia="Arial" w:cs="Arial" w:ascii="Arial" w:hAnsi="Arial"/>
          <w:bCs/>
          <w:color w:val="auto"/>
          <w:spacing w:val="0"/>
          <w:w w:val="100"/>
          <w:sz w:val="20"/>
          <w:szCs w:val="20"/>
          <w:lang w:val="ro-RO"/>
        </w:rPr>
        <w:t>o</w:t>
      </w:r>
      <w:r>
        <w:rPr>
          <w:rFonts w:eastAsia="Arial" w:cs="Arial" w:ascii="Arial" w:hAnsi="Arial"/>
          <w:color w:val="auto"/>
          <w:spacing w:val="0"/>
          <w:w w:val="100"/>
          <w:sz w:val="20"/>
          <w:szCs w:val="20"/>
          <w:lang w:val="ro-RO"/>
        </w:rPr>
        <w:t>ordinator.name}}, având funcția de {{fire.coordinator.jobTitleRunOn}} în cadrul</w:t>
      </w:r>
      <w:r>
        <w:rPr>
          <w:rFonts w:eastAsia="Arial" w:cs="Arial" w:ascii="Arial" w:hAnsi="Arial"/>
          <w:color w:val="auto"/>
          <w:spacing w:val="0"/>
          <w:w w:val="100"/>
          <w:sz w:val="20"/>
          <w:szCs w:val="20"/>
          <w:lang w:val="ro-RO"/>
        </w:rPr>
        <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t>client.legalName</w:t>
      </w:r>
      <w:r>
        <w:rPr>
          <w:rFonts w:eastAsia="Arial" w:cs="Arial" w:ascii="Arial" w:hAnsi="Arial"/>
          <w:color w:val="auto"/>
          <w:spacing w:val="0"/>
          <w:w w:val="100"/>
          <w:sz w:val="20"/>
          <w:szCs w:val="20"/>
          <w:lang w:val="ro-RO"/>
        </w:rPr>
        <w:t>}}.</w:t>
      </w:r>
    </w:p>
    <w:p>
      <w:pPr>
        <w:pStyle w:val="Normal"/>
        <w:widowControl/>
        <w:numPr>
          <w:ilvl w:val="0"/>
          <w:numId w:val="3"/>
        </w:numPr>
        <w:spacing w:before="120" w:after="60"/>
        <w:ind w:hanging="0" w:left="0"/>
        <w:jc w:val="left"/>
        <w:rPr>
          <w:rFonts w:ascii="Arial" w:hAnsi="Arial" w:cs="Arial"/>
          <w:sz w:val="20"/>
          <w:szCs w:val="20"/>
        </w:rPr>
      </w:pPr>
      <w:r>
        <w:rPr>
          <w:rFonts w:eastAsia="Arial" w:cs="Arial" w:ascii="Arial" w:hAnsi="Arial"/>
          <w:color w:val="auto"/>
          <w:spacing w:val="0"/>
          <w:w w:val="100"/>
          <w:sz w:val="20"/>
          <w:szCs w:val="20"/>
          <w:lang w:val="ro-RO"/>
        </w:rPr>
        <w:t>Conform OMAI 163/2007 – art. 98 alin. (1) lit. d), lucrările cu foc deschis se vor executa numai după emiterea „Permisulu</w:t>
      </w:r>
      <w:r>
        <w:rPr>
          <w:rFonts w:eastAsia="Arial" w:cs="Arial" w:ascii="Arial" w:hAnsi="Arial"/>
          <w:bCs/>
          <w:color w:val="auto"/>
          <w:spacing w:val="0"/>
          <w:w w:val="100"/>
          <w:sz w:val="20"/>
          <w:szCs w:val="20"/>
          <w:lang w:val="ro-RO"/>
        </w:rPr>
        <w:t xml:space="preserve">i de lucru cu foc” (OMAI 163/2007, </w:t>
      </w:r>
      <w:r>
        <w:rPr>
          <w:rFonts w:eastAsia="Arial" w:cs="Arial" w:ascii="Arial" w:hAnsi="Arial"/>
          <w:color w:val="auto"/>
          <w:spacing w:val="0"/>
          <w:w w:val="100"/>
          <w:sz w:val="20"/>
          <w:szCs w:val="20"/>
          <w:lang w:val="ro-RO"/>
        </w:rPr>
        <w:t>anexa 4).</w:t>
      </w:r>
    </w:p>
    <w:p>
      <w:pPr>
        <w:pStyle w:val="Normal"/>
        <w:widowControl/>
        <w:numPr>
          <w:ilvl w:val="0"/>
          <w:numId w:val="3"/>
        </w:numPr>
        <w:spacing w:before="120" w:after="60"/>
        <w:ind w:hanging="0" w:left="0"/>
        <w:jc w:val="left"/>
        <w:rPr>
          <w:rFonts w:ascii="Arial" w:hAnsi="Arial" w:cs="Arial"/>
          <w:sz w:val="20"/>
          <w:szCs w:val="20"/>
        </w:rPr>
      </w:pPr>
      <w:r>
        <w:rPr>
          <w:rFonts w:eastAsia="Arial" w:cs="Arial" w:ascii="Arial" w:hAnsi="Arial"/>
          <w:color w:val="auto"/>
          <w:spacing w:val="0"/>
          <w:w w:val="100"/>
          <w:sz w:val="20"/>
          <w:szCs w:val="20"/>
          <w:lang w:val="ro-RO"/>
        </w:rPr>
        <w:t xml:space="preserve">Lucrările cu foc deschis se vor executa numai după asigurarea măsurilor de apărare împotriva incendiilor specifice locului în care se efectuează lucrarea, sub supravegherea nemijlocită a conducătorului locului de muncă.</w:t>
      </w:r>
    </w:p>
    <w:p>
      <w:pPr>
        <w:pStyle w:val="BodyTextIndent"/>
        <w:widowControl/>
        <w:numPr>
          <w:ilvl w:val="0"/>
          <w:numId w:val="3"/>
        </w:numPr>
        <w:spacing w:before="120" w:after="60"/>
        <w:ind w:hanging="0" w:left="0" w:right="0"/>
        <w:jc w:val="left"/>
        <w:rPr>
          <w:rFonts w:ascii="Arial" w:hAnsi="Arial" w:cs="Arial"/>
          <w:sz w:val="20"/>
          <w:szCs w:val="20"/>
        </w:rPr>
      </w:pPr>
      <w:r>
        <w:rPr>
          <w:rFonts w:eastAsia="Arial" w:cs="Arial" w:ascii="Arial" w:hAnsi="Arial"/>
          <w:color w:val="auto"/>
          <w:spacing w:val="0"/>
          <w:w w:val="100"/>
          <w:sz w:val="20"/>
          <w:szCs w:val="20"/>
          <w:lang w:val="ro-RO"/>
        </w:rPr>
        <w:t xml:space="preserve">Îndeplinirea condițiilor de siguranță prevăzute în Permisul de lucru cu foc va fi verificată de coordonatorul privind apărarea împotriva incendiilor sau de persoana desemnată prin Decizia nr. {{fire.decisionNumbers.organization}}</w:t>
      </w:r>
      <w:r>
        <w:rPr>
          <w:rFonts w:eastAsia="Arial" w:cs="Arial" w:ascii="Arial" w:hAnsi="Arial"/>
          <w:bCs/>
          <w:color w:val="auto"/>
          <w:spacing w:val="0"/>
          <w:w w:val="100"/>
          <w:sz w:val="20"/>
          <w:szCs w:val="20"/>
          <w:lang w:val="ro-RO"/>
        </w:rPr>
        <w:t/>
      </w:r>
      <w:r>
        <w:rPr>
          <w:rFonts w:eastAsia="Arial" w:cs="Arial" w:ascii="Arial" w:hAnsi="Arial"/>
          <w:color w:val="auto"/>
          <w:spacing w:val="0"/>
          <w:w w:val="100"/>
          <w:sz w:val="20"/>
          <w:szCs w:val="20"/>
          <w:lang w:val="ro-RO"/>
        </w:rPr>
        <w:t xml:space="preserve">.</w:t>
      </w:r>
    </w:p>
    <w:p>
      <w:pPr>
        <w:pStyle w:val="Normal"/>
        <w:widowControl/>
        <w:numPr>
          <w:ilvl w:val="0"/>
          <w:numId w:val="3"/>
        </w:numPr>
        <w:spacing w:before="120" w:after="60"/>
        <w:ind w:hanging="0" w:left="0"/>
        <w:jc w:val="left"/>
        <w:rPr>
          <w:rFonts w:ascii="Arial" w:hAnsi="Arial" w:cs="Arial"/>
          <w:sz w:val="20"/>
          <w:szCs w:val="20"/>
        </w:rPr>
      </w:pPr>
      <w:r>
        <w:rPr>
          <w:rFonts w:eastAsia="Arial" w:cs="Arial" w:ascii="Arial" w:hAnsi="Arial"/>
          <w:color w:val="auto"/>
          <w:spacing w:val="0"/>
          <w:w w:val="100"/>
          <w:sz w:val="20"/>
          <w:szCs w:val="20"/>
          <w:lang w:val="ro-RO"/>
        </w:rPr>
        <w:t xml:space="preserve">Permisul de lucru cu foc va fi emis de către coordonatorul privind apărarea împotriva incendiilor sau de persoana desemnată prin Decizia nr. {{fire.decisionNumbers.organization}}, care asigură și aducerea</w:t>
      </w:r>
      <w:r>
        <w:rPr>
          <w:rFonts w:eastAsia="Arial" w:cs="Arial" w:ascii="Arial" w:hAnsi="Arial"/>
          <w:bCs/>
          <w:color w:val="auto"/>
          <w:spacing w:val="0"/>
          <w:w w:val="100"/>
          <w:sz w:val="20"/>
          <w:szCs w:val="20"/>
          <w:lang w:val="ro-RO"/>
        </w:rPr>
        <w:t/>
      </w:r>
      <w:r>
        <w:rPr>
          <w:rFonts w:eastAsia="Arial" w:cs="Arial" w:ascii="Arial" w:hAnsi="Arial"/>
          <w:color w:val="auto"/>
          <w:spacing w:val="0"/>
          <w:w w:val="100"/>
          <w:sz w:val="20"/>
          <w:szCs w:val="20"/>
          <w:lang w:val="ro-RO"/>
        </w:rPr>
        <w:t xml:space="preserve"> la cunoștință a conținutului acestuia celor care efectuează lucrarea.</w:t>
      </w:r>
    </w:p>
    <w:p>
      <w:pPr>
        <w:pStyle w:val="Normal"/>
        <w:widowControl/>
        <w:numPr>
          <w:ilvl w:val="0"/>
          <w:numId w:val="3"/>
        </w:numPr>
        <w:spacing w:before="120" w:after="60"/>
        <w:ind w:hanging="0" w:left="0"/>
        <w:jc w:val="left"/>
        <w:rPr>
          <w:rFonts w:ascii="Arial" w:hAnsi="Arial" w:cs="Arial"/>
          <w:sz w:val="20"/>
          <w:szCs w:val="20"/>
        </w:rPr>
      </w:pPr>
      <w:r>
        <w:rPr>
          <w:rFonts w:eastAsia="Arial" w:cs="Arial" w:ascii="Arial" w:hAnsi="Arial"/>
          <w:color w:val="auto"/>
          <w:spacing w:val="0"/>
          <w:w w:val="100"/>
          <w:sz w:val="20"/>
          <w:szCs w:val="20"/>
          <w:lang w:val="ro-RO"/>
        </w:rPr>
        <w:t>Permisul de lucru cu foc se întocmește în 2 exemplare, din care exemplarul nr. 1 (original) se va păstra la șeful echipei sau la lucrătorul care efectuează lucrarea, iar exemplarul nr. 2 (copie) la coordonatorul privind apărarea împotriva incendiilor.</w:t>
      </w:r>
    </w:p>
    <w:p>
      <w:pPr>
        <w:pStyle w:val="Normal"/>
        <w:widowControl/>
        <w:numPr>
          <w:ilvl w:val="0"/>
          <w:numId w:val="3"/>
        </w:numPr>
        <w:spacing w:before="120" w:after="60"/>
        <w:ind w:hanging="0" w:left="0"/>
        <w:jc w:val="left"/>
        <w:rPr>
          <w:rFonts w:ascii="Arial" w:hAnsi="Arial" w:cs="Arial"/>
          <w:sz w:val="20"/>
          <w:szCs w:val="20"/>
        </w:rPr>
      </w:pPr>
      <w:r>
        <w:rPr>
          <w:rFonts w:eastAsia="Arial" w:cs="Arial" w:ascii="Arial" w:hAnsi="Arial"/>
          <w:color w:val="auto"/>
          <w:spacing w:val="0"/>
          <w:w w:val="100"/>
          <w:sz w:val="20"/>
          <w:szCs w:val="20"/>
          <w:lang w:val="ro-RO"/>
        </w:rPr>
        <w:t>Permisul de lucru cu foc se eliberează zilnic, cu respectarea procedurilor specifice, chiar dacă focul deschis se folosește în executarea aceleiași lucrări pe o perioadă mai mare de timp.</w:t>
      </w:r>
    </w:p>
    <w:p>
      <w:pPr>
        <w:pStyle w:val="Normal"/>
        <w:widowControl/>
        <w:numPr>
          <w:ilvl w:val="0"/>
          <w:numId w:val="3"/>
        </w:numPr>
        <w:spacing w:before="120" w:after="60"/>
        <w:ind w:hanging="0" w:left="0"/>
        <w:jc w:val="left"/>
        <w:rPr>
          <w:rFonts w:ascii="Arial" w:hAnsi="Arial" w:cs="Arial"/>
          <w:sz w:val="20"/>
          <w:szCs w:val="20"/>
        </w:rPr>
      </w:pPr>
      <w:r>
        <w:rPr>
          <w:rFonts w:eastAsia="Arial" w:cs="Arial" w:ascii="Arial" w:hAnsi="Arial"/>
          <w:color w:val="auto"/>
          <w:spacing w:val="0"/>
          <w:w w:val="100"/>
          <w:sz w:val="20"/>
          <w:szCs w:val="20"/>
          <w:lang w:val="ro-RO"/>
        </w:rPr>
        <w:t>În spațiile cu risc ridicat de incendiu sau cu pericol de explozie, lucrările cu foc deschis se vor efectua numai după îndepărtarea materialelor inflamabile și verificarea cu aparatura adecvată a concentrației de vapori inflamabili, precum și a posibilităților de apariție accidentală a acestora în zona de lucru cu foc deschis.</w:t>
      </w:r>
    </w:p>
    <w:p>
      <w:pPr>
        <w:pStyle w:val="Normal"/>
        <w:widowControl/>
        <w:numPr>
          <w:ilvl w:val="0"/>
          <w:numId w:val="3"/>
        </w:numPr>
        <w:spacing w:before="120" w:after="60"/>
        <w:ind w:hanging="0" w:left="0"/>
        <w:jc w:val="left"/>
        <w:rPr>
          <w:rFonts w:ascii="Arial" w:hAnsi="Arial" w:cs="Arial"/>
          <w:sz w:val="20"/>
          <w:szCs w:val="20"/>
        </w:rPr>
      </w:pPr>
      <w:r>
        <w:rPr>
          <w:rFonts w:eastAsia="Arial" w:cs="Arial" w:ascii="Arial" w:hAnsi="Arial"/>
          <w:color w:val="auto"/>
          <w:spacing w:val="0"/>
          <w:w w:val="100"/>
          <w:sz w:val="20"/>
          <w:szCs w:val="20"/>
          <w:lang w:val="ro-RO"/>
        </w:rPr>
        <w:t xml:space="preserve">Locurile în care se execută lucrări cu foc deschis vor fi dotate cu mijloace inițiale de stingere a incendiilor, supravegherea efectuându-se cu personal instruit pentru o intervenție operativă, iar în cazul în care lucrările cu foc deschis se efectuează în spații cu risc mare de incendiu sau cu pericol de explozie, supravegherea va fi efectuată de serviciul privat pentru situații de urgență sau de echipaje ale serviciului profesionist pentru situații de urgență (ISU), cu care se vor încheia contracte de prestări de servicii potrivit reglementărilor legale.</w:t>
      </w:r>
    </w:p>
    <w:p>
      <w:pPr>
        <w:pStyle w:val="Normal"/>
        <w:widowControl/>
        <w:numPr>
          <w:ilvl w:val="0"/>
          <w:numId w:val="3"/>
        </w:numPr>
        <w:spacing w:before="120" w:after="60"/>
        <w:ind w:hanging="0" w:left="0"/>
        <w:jc w:val="left"/>
        <w:rPr>
          <w:rFonts w:ascii="Arial" w:hAnsi="Arial" w:cs="Arial"/>
          <w:sz w:val="20"/>
          <w:szCs w:val="20"/>
        </w:rPr>
      </w:pPr>
      <w:r>
        <w:rPr>
          <w:rFonts w:eastAsia="Arial" w:cs="Arial" w:ascii="Arial" w:hAnsi="Arial"/>
          <w:color w:val="auto"/>
          <w:spacing w:val="0"/>
          <w:w w:val="100"/>
          <w:sz w:val="20"/>
          <w:szCs w:val="20"/>
          <w:lang w:val="ro-RO"/>
        </w:rPr>
        <w:t>Echipamentele și aparatele utilizate pentru executarea lucrărilor cu foc deschis trebuie să fie în bună stare de funcționare. De îndeplinirea acestor cerințe răspunde executantul.</w:t>
      </w:r>
    </w:p>
    <w:p>
      <w:pPr>
        <w:pStyle w:val="Normal"/>
        <w:keepNext/>
        <w:widowControl/>
        <w:numPr>
          <w:ilvl w:val="0"/>
          <w:numId w:val="3"/>
        </w:numPr>
        <w:spacing w:before="120" w:after="60"/>
        <w:ind w:hanging="0" w:left="0"/>
        <w:jc w:val="left"/>
        <w:rPr>
          <w:rFonts w:ascii="Arial" w:hAnsi="Arial" w:cs="Arial"/>
          <w:sz w:val="20"/>
          <w:szCs w:val="20"/>
        </w:rPr>
      </w:pPr>
      <w:r>
        <w:rPr>
          <w:rFonts w:eastAsia="Arial" w:cs="Arial" w:ascii="Arial" w:hAnsi="Arial"/>
          <w:color w:val="auto"/>
          <w:spacing w:val="0"/>
          <w:w w:val="100"/>
          <w:sz w:val="20"/>
          <w:szCs w:val="20"/>
          <w:lang w:val="ro-RO"/>
        </w:rPr>
        <w:t xml:space="preserve">Pregătirea locului unde urmează să se execute operațiunea de sudare sau tăiere cu flacără oxiacetilenică presupune:</w:t>
      </w:r>
    </w:p>
    <w:p>
      <w:pPr>
        <w:pStyle w:val="Normal"/>
        <w:widowControl/>
        <w:spacing w:before="0" w:after="40"/>
        <w:ind w:hanging="360" w:left="720"/>
        <w:jc w:val="left"/>
        <w:rPr>
          <w:rFonts w:ascii="Arial" w:hAnsi="Arial" w:cs="Arial"/>
          <w:sz w:val="20"/>
          <w:szCs w:val="20"/>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înconjurarea acestuia cu panouri necombustibile cu înălțimea de minimum 2 m și bine ancorate de podea;</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protecția pardoselii din material combustibil cu un strat de nisip cu grosimea de 2 cm, cu tablă sau cu plăci din materiale necombustibile;</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îndepărtarea materialelor și substanțelor combustibile transportabile la o distanță de cel puțin 10 m de locul sudării sau tăierii;</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d)</w:t>
        <w:tab/>
      </w:r>
      <w:r>
        <w:rPr>
          <w:rFonts w:eastAsia="Arial" w:cs="Arial" w:ascii="Arial" w:hAnsi="Arial"/>
          <w:color w:val="auto"/>
          <w:spacing w:val="0"/>
          <w:w w:val="100"/>
          <w:sz w:val="20"/>
          <w:szCs w:val="20"/>
          <w:lang w:val="ro-RO"/>
        </w:rPr>
        <w:t>curățarea pieselor vopsite pe o porțiune de cel puțin 100 mm de o parte și de alta în jurul punctului de lucru;</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e)</w:t>
        <w:tab/>
      </w:r>
      <w:r>
        <w:rPr>
          <w:rFonts w:eastAsia="Arial" w:cs="Arial" w:ascii="Arial" w:hAnsi="Arial"/>
          <w:color w:val="auto"/>
          <w:spacing w:val="0"/>
          <w:w w:val="100"/>
          <w:sz w:val="20"/>
          <w:szCs w:val="20"/>
          <w:lang w:val="ro-RO"/>
        </w:rPr>
        <w:t>umezirea cu apă sau protejarea cu panouri necombustibile a materialelor și elementelor de construcție combustibile fixe pentru a fi ferite de contactul cu scânteile sau stropii de sudură, cu flacăra sau cu alte particule de materiale incandescente;</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f)</w:t>
        <w:tab/>
      </w:r>
      <w:r>
        <w:rPr>
          <w:rFonts w:eastAsia="Arial" w:cs="Arial" w:ascii="Arial" w:hAnsi="Arial"/>
          <w:color w:val="auto"/>
          <w:spacing w:val="0"/>
          <w:w w:val="100"/>
          <w:sz w:val="20"/>
          <w:szCs w:val="20"/>
          <w:lang w:val="ro-RO"/>
        </w:rPr>
        <w:t>înlăturarea posibilităților ca sursele de foc (scântei, particule incandescente etc.) să intre în contact cu materialele combustibile care se află în încăperile adiacente sau la cota inferioară, prin acoperirea sau obturarea golurilor ori orificiilor din pardoseală și pereți cu plăci sau dopuri necombustibile;</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g)</w:t>
        <w:tab/>
      </w:r>
      <w:r>
        <w:rPr>
          <w:rFonts w:eastAsia="Arial" w:cs="Arial" w:ascii="Arial" w:hAnsi="Arial"/>
          <w:color w:val="auto"/>
          <w:spacing w:val="0"/>
          <w:w w:val="100"/>
          <w:sz w:val="20"/>
          <w:szCs w:val="20"/>
          <w:lang w:val="ro-RO"/>
        </w:rPr>
        <w:t>amplasarea la distanțe de siguranță a generatorului de acetilenă transportabil și a buteliei de oxigen, astfel: cel puțin 10 m între acestea și locul de sudură sau orice sursă cu foc deschis și, respectiv, cel puțin 5 m între ele;</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h)</w:t>
        <w:tab/>
      </w:r>
      <w:r>
        <w:rPr>
          <w:rFonts w:eastAsia="Arial" w:cs="Arial" w:ascii="Arial" w:hAnsi="Arial"/>
          <w:color w:val="auto"/>
          <w:spacing w:val="0"/>
          <w:w w:val="100"/>
          <w:sz w:val="20"/>
          <w:szCs w:val="20"/>
          <w:lang w:val="ro-RO"/>
        </w:rPr>
        <w:t>dotarea cu mijloace de primă intervenție corespunzătoare;</w:t>
      </w:r>
    </w:p>
    <w:p>
      <w:pPr>
        <w:pStyle w:val="Normal"/>
        <w:widowControl/>
        <w:spacing w:before="0" w:after="12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i)</w:t>
        <w:tab/>
      </w:r>
      <w:r>
        <w:rPr>
          <w:rFonts w:eastAsia="Arial" w:cs="Arial" w:ascii="Arial" w:hAnsi="Arial"/>
          <w:color w:val="auto"/>
          <w:spacing w:val="0"/>
          <w:w w:val="100"/>
          <w:sz w:val="20"/>
          <w:szCs w:val="20"/>
          <w:lang w:val="ro-RO"/>
        </w:rPr>
        <w:t>asigurarea prezenței persoanei desemnate să supravegheze executarea lucrărilor cu foc deschis.</w:t>
      </w:r>
    </w:p>
    <w:p>
      <w:pPr>
        <w:pStyle w:val="Normal"/>
        <w:keepNext/>
        <w:widowControl/>
        <w:numPr>
          <w:ilvl w:val="0"/>
          <w:numId w:val="3"/>
        </w:numPr>
        <w:spacing w:before="120" w:after="60"/>
        <w:ind w:hanging="0" w:left="0"/>
        <w:jc w:val="left"/>
        <w:rPr>
          <w:rFonts w:ascii="Arial" w:hAnsi="Arial" w:cs="Arial"/>
          <w:sz w:val="20"/>
          <w:szCs w:val="20"/>
          <w:lang w:val="fr-FR"/>
        </w:rPr>
      </w:pPr>
      <w:r>
        <w:rPr>
          <w:rFonts w:eastAsia="Arial" w:cs="Arial" w:ascii="Arial" w:hAnsi="Arial"/>
          <w:color w:val="auto"/>
          <w:spacing w:val="0"/>
          <w:w w:val="100"/>
          <w:sz w:val="20"/>
          <w:szCs w:val="20"/>
          <w:lang w:val="ro-RO"/>
        </w:rPr>
        <w:t>În timpul executării lucrării trebuie să se asigure:</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a)</w:t>
      </w:r>
      <w:r>
        <w:rPr>
          <w:rFonts w:eastAsia="Arial" w:cs="Arial" w:ascii="Arial" w:hAnsi="Arial"/>
          <w:color w:val="auto"/>
          <w:spacing w:val="0"/>
          <w:w w:val="100"/>
          <w:sz w:val="20"/>
          <w:szCs w:val="20"/>
          <w:lang w:val="ro-RO"/>
        </w:rPr>
        <w:tab/>
        <w:t>supravegherea permanentă și cu atenție a flăcării, a dispersiei (răspândirii) și a traiectoriilor scânteilor sau particulelor de materiale incandescente și a intensității fluxului de căldură;</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strângerea și depozitarea resturilor de electrozi în vase speciale cu nisip sau cu apă;</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închiderea robinetelor buteliei de oxigen și a generatorului de acetilenă, dacă durata întreruperii executării lucrării depășește 10 minute;</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d)</w:t>
        <w:tab/>
      </w:r>
      <w:r>
        <w:rPr>
          <w:rFonts w:eastAsia="Arial" w:cs="Arial" w:ascii="Arial" w:hAnsi="Arial"/>
          <w:color w:val="auto"/>
          <w:spacing w:val="0"/>
          <w:w w:val="100"/>
          <w:sz w:val="20"/>
          <w:szCs w:val="20"/>
          <w:lang w:val="ro-RO"/>
        </w:rPr>
        <w:t>interzicerea agățării arzătoarelor (chiar stinse) de buteliile de oxigen sau de generatoarele de acetilenă;</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e)</w:t>
        <w:tab/>
      </w:r>
      <w:r>
        <w:rPr>
          <w:rFonts w:eastAsia="Arial" w:cs="Arial" w:ascii="Arial" w:hAnsi="Arial"/>
          <w:color w:val="auto"/>
          <w:spacing w:val="0"/>
          <w:w w:val="100"/>
          <w:sz w:val="20"/>
          <w:szCs w:val="20"/>
          <w:lang w:val="ro-RO"/>
        </w:rPr>
        <w:t>neefectuarea de deplasări cu arzătoarele aprinse în afara zonei de lucru sau de urcări pe scări, schele etc.;</w:t>
      </w:r>
    </w:p>
    <w:p>
      <w:pPr>
        <w:pStyle w:val="Normal"/>
        <w:widowControl/>
        <w:spacing w:before="0" w:after="12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f)</w:t>
        <w:tab/>
      </w:r>
      <w:r>
        <w:rPr>
          <w:rFonts w:eastAsia="Arial" w:cs="Arial" w:ascii="Arial" w:hAnsi="Arial"/>
          <w:color w:val="auto"/>
          <w:spacing w:val="0"/>
          <w:w w:val="100"/>
          <w:sz w:val="20"/>
          <w:szCs w:val="20"/>
          <w:lang w:val="ro-RO"/>
        </w:rPr>
        <w:t>evacuarea carbidului din generator în cazul întreruperii lucrului pe o perioadă mai îndelungată.</w:t>
      </w:r>
    </w:p>
    <w:p>
      <w:pPr>
        <w:pStyle w:val="Normal"/>
        <w:keepNext/>
        <w:widowControl/>
        <w:numPr>
          <w:ilvl w:val="0"/>
          <w:numId w:val="3"/>
        </w:numPr>
        <w:spacing w:before="120" w:after="60"/>
        <w:ind w:hanging="0" w:left="0"/>
        <w:jc w:val="left"/>
        <w:rPr>
          <w:rFonts w:ascii="Arial" w:hAnsi="Arial" w:cs="Arial"/>
          <w:sz w:val="20"/>
          <w:szCs w:val="20"/>
          <w:lang w:val="fr-FR"/>
        </w:rPr>
      </w:pPr>
      <w:r>
        <w:rPr>
          <w:rFonts w:eastAsia="Arial" w:cs="Arial" w:ascii="Arial" w:hAnsi="Arial"/>
          <w:color w:val="auto"/>
          <w:spacing w:val="0"/>
          <w:w w:val="100"/>
          <w:sz w:val="20"/>
          <w:szCs w:val="20"/>
          <w:lang w:val="ro-RO"/>
        </w:rPr>
        <w:t>După terminarea lucrării trebuie să se asigure următoarele:</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verificarea minuțioasă a locului în care s-a executat lucrarea, precum și a spațiilor adiacente și a celor situate la cotele inferioare sau superioare, pentru a constata dacă nu s-au creat focare de incendiu (zone incandescente, miros de ars sau degajări de fum etc.);</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descoperirea tuturor zonelor protejate, verificându-se dacă starea lor este intactă, și luarea de măsuri în consecință;</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verificarea, la anumite intervale, pe parcursul mai multor ore și în timpul nopții, a situației existente la locul în care s-a efectuat lucrarea și în imediata apropiere a acestuia;</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d)</w:t>
        <w:tab/>
      </w:r>
      <w:r>
        <w:rPr>
          <w:rFonts w:eastAsia="Arial" w:cs="Arial" w:ascii="Arial" w:hAnsi="Arial"/>
          <w:color w:val="auto"/>
          <w:spacing w:val="0"/>
          <w:w w:val="100"/>
          <w:sz w:val="20"/>
          <w:szCs w:val="20"/>
          <w:lang w:val="ro-RO"/>
        </w:rPr>
        <w:t>depozitarea în condiții de siguranță a echipamentelor folosite la lucrare;</w:t>
      </w:r>
    </w:p>
    <w:p>
      <w:pPr>
        <w:pStyle w:val="Normal"/>
        <w:widowControl/>
        <w:spacing w:before="0" w:after="4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e)</w:t>
        <w:tab/>
      </w:r>
      <w:r>
        <w:rPr>
          <w:rFonts w:eastAsia="Arial" w:cs="Arial" w:ascii="Arial" w:hAnsi="Arial"/>
          <w:color w:val="auto"/>
          <w:spacing w:val="0"/>
          <w:w w:val="100"/>
          <w:sz w:val="20"/>
          <w:szCs w:val="20"/>
          <w:lang w:val="ro-RO"/>
        </w:rPr>
        <w:t>reamplasarea pe pozițiile inițiale a elementelor și materialelor combustibile la cel puțin 6 ore de la terminarea lucrării;</w:t>
      </w:r>
    </w:p>
    <w:p>
      <w:pPr>
        <w:pStyle w:val="Normal"/>
        <w:widowControl/>
        <w:spacing w:before="0" w:after="120"/>
        <w:ind w:hanging="360" w:left="720"/>
        <w:jc w:val="left"/>
        <w:rPr>
          <w:rFonts w:ascii="Arial" w:hAnsi="Arial" w:cs="Arial"/>
          <w:sz w:val="20"/>
          <w:szCs w:val="20"/>
          <w:lang w:val="fr-FR"/>
        </w:rPr>
      </w:pPr>
      <w:r>
        <w:rPr>
          <w:rFonts w:eastAsia="Arial" w:cs="Arial" w:ascii="Arial" w:hAnsi="Arial"/>
          <w:b/>
          <w:color w:val="auto"/>
          <w:spacing w:val="0"/>
          <w:w w:val="100"/>
          <w:sz w:val="20"/>
          <w:szCs w:val="20"/>
          <w:lang w:val="ro-RO"/>
        </w:rPr>
        <w:t>f)</w:t>
        <w:tab/>
      </w:r>
      <w:r>
        <w:rPr>
          <w:rFonts w:eastAsia="Arial" w:cs="Arial" w:ascii="Arial" w:hAnsi="Arial"/>
          <w:color w:val="auto"/>
          <w:spacing w:val="0"/>
          <w:w w:val="100"/>
          <w:sz w:val="20"/>
          <w:szCs w:val="20"/>
          <w:lang w:val="ro-RO"/>
        </w:rPr>
        <w:t>colectarea nămolului (șlamului) de carbid în containere destinate acestui scop și depozitarea acestora într-un loc special amenajat.</w:t>
      </w:r>
    </w:p>
    <w:p>
      <w:pPr>
        <w:pStyle w:val="Normal"/>
        <w:widowControl/>
        <w:numPr>
          <w:ilvl w:val="0"/>
          <w:numId w:val="3"/>
        </w:numPr>
        <w:spacing w:before="120" w:after="60"/>
        <w:ind w:hanging="0" w:left="0"/>
        <w:jc w:val="left"/>
        <w:rPr>
          <w:rFonts w:ascii="Arial" w:hAnsi="Arial" w:cs="Arial"/>
          <w:sz w:val="20"/>
          <w:szCs w:val="20"/>
        </w:rPr>
      </w:pPr>
      <w:r>
        <w:rPr>
          <w:rFonts w:eastAsia="Arial" w:cs="Arial" w:ascii="Arial" w:hAnsi="Arial"/>
          <w:color w:val="auto"/>
          <w:spacing w:val="0"/>
          <w:w w:val="100"/>
          <w:sz w:val="20"/>
          <w:szCs w:val="20"/>
          <w:lang w:val="ro-RO"/>
        </w:rPr>
        <w:t>Lucrările cu foc deschis se vor efectua cu respectarea OMAI 163/2007 – art. 97–105.</w:t>
      </w:r>
    </w:p>
    <w:p>
      <w:pPr>
        <w:pStyle w:val="Normal"/>
        <w:keepNext w:val="true"/>
        <w:widowControl/>
        <w:spacing w:before="480" w:after="0"/>
        <w:ind w:hanging="0" w:left="0" w:right="0"/>
        <w:jc w:val="center"/>
        <w:rPr>
          <w:rFonts w:ascii="Arial" w:hAnsi="Arial" w:cs="Arial"/>
          <w:b/>
          <w:sz w:val="20"/>
          <w:szCs w:val="20"/>
        </w:rPr>
      </w:pPr>
      <w:r>
        <w:rPr>
          <w:rFonts w:eastAsia="Arial" w:cs="Arial" w:ascii="Arial" w:hAnsi="Arial"/>
          <w:b/>
          <w:color w:val="auto"/>
          <w:spacing w:val="0"/>
          <w:w w:val="100"/>
          <w:sz w:val="20"/>
          <w:szCs w:val="20"/>
          <w:lang w:val="ro-RO"/>
        </w:rPr>
        <w:t>{{cli</w:t>
      </w:r>
      <w:r>
        <w:rPr>
          <w:rStyle w:val="PageNumber"/>
          <w:rFonts w:eastAsia="Arial" w:cs="Arial" w:ascii="Arial" w:hAnsi="Arial"/>
          <w:b/>
          <w:color w:val="auto"/>
          <w:spacing w:val="0"/>
          <w:w w:val="100"/>
          <w:sz w:val="20"/>
          <w:szCs w:val="20"/>
          <w:lang w:val="ro-RO"/>
        </w:rPr>
        <w:t>ent.legalName}}</w:t>
      </w:r>
    </w:p>
    <w:p>
      <w:pPr>
        <w:pStyle w:val="Normal"/>
        <w:keepNext w:val="true"/>
        <w:widowControl/>
        <w:spacing w:before="0" w:after="240"/>
        <w:ind w:hanging="0" w:left="0" w:right="0"/>
        <w:jc w:val="center"/>
        <w:rPr>
          <w:rFonts w:ascii="Arial" w:hAnsi="Arial" w:cs="Arial"/>
          <w:sz w:val="20"/>
          <w:szCs w:val="20"/>
        </w:rPr>
      </w:pPr>
      <w:r>
        <w:rPr>
          <w:rFonts w:eastAsia="Arial" w:cs="Arial" w:ascii="Arial" w:hAnsi="Arial"/>
          <w:color w:val="auto"/>
          <w:spacing w:val="0"/>
          <w:w w:val="100"/>
          <w:sz w:val="20"/>
          <w:szCs w:val="20"/>
          <w:lang w:val="ro-RO"/>
        </w:rPr>
        <w:t>{{client.representativeRole}}</w:t>
      </w:r>
    </w:p>
    <w:p>
      <w:pPr>
        <w:pStyle w:val="Normal"/>
        <w:keepNext w:val="false"/>
        <w:widowControl/>
        <w:spacing w:before="0" w:after="120"/>
        <w:ind w:hanging="0" w:left="0" w:right="0"/>
        <w:jc w:val="center"/>
        <w:rPr>
          <w:rFonts w:ascii="Arial" w:hAnsi="Arial" w:cs="Arial"/>
          <w:b/>
          <w:sz w:val="20"/>
          <w:szCs w:val="20"/>
        </w:rPr>
      </w:pPr>
      <w:r>
        <w:rPr>
          <w:rFonts w:eastAsia="Arial" w:cs="Arial" w:ascii="Arial" w:hAnsi="Arial"/>
          <w:b/>
          <w:color w:val="auto"/>
          <w:spacing w:val="0"/>
          <w:w w:val="100"/>
          <w:sz w:val="20"/>
          <w:szCs w:val="20"/>
          <w:lang w:val="ro-RO"/>
        </w:rPr>
        <w:t>{{client.representativeName}}</w:t>
      </w:r>
    </w:p>
    <w:p>
      <w:pPr>
        <w:pStyle w:val="Normal"/>
        <w:keepNext w:val="true"/>
        <w:widowControl/>
        <w:spacing w:before="240" w:after="120"/>
        <w:ind w:hanging="0"/>
        <w:jc w:val="center"/>
        <w:rPr>
          <w:rFonts w:ascii="Arial" w:hAnsi="Arial" w:cs="Arial"/>
          <w:b/>
          <w:sz w:val="20"/>
          <w:szCs w:val="20"/>
          <w:lang w:val="it-CH"/>
        </w:rPr>
      </w:pPr>
      <w:r>
        <w:rPr>
          <w:rFonts w:eastAsia="Arial" w:cs="Arial" w:ascii="Arial" w:hAnsi="Arial"/>
          <w:b/>
          <w:color w:val="auto"/>
          <w:spacing w:val="0"/>
          <w:w w:val="100"/>
          <w:sz w:val="20"/>
          <w:szCs w:val="20"/>
          <w:lang w:val="ro-RO"/>
        </w:rPr>
        <w:t>PROCES-VERBAL DE LUARE DE CUNOȘTINȚĂ</w:t>
      </w:r>
    </w:p>
    <w:p>
      <w:pPr>
        <w:pStyle w:val="Normal"/>
        <w:keepNext w:val="true"/>
        <w:widowControl/>
        <w:spacing w:before="0" w:after="120"/>
        <w:ind w:hanging="0" w:right="0"/>
        <w:jc w:val="left"/>
        <w:rPr>
          <w:rStyle w:val="tpa1"/>
          <w:rFonts w:ascii="Arial" w:hAnsi="Arial" w:cs="Arial"/>
          <w:sz w:val="20"/>
          <w:szCs w:val="20"/>
          <w:lang w:val="it-CH"/>
        </w:rPr>
      </w:pPr>
      <w:r>
        <w:rPr>
          <w:rStyle w:val="tpa1"/>
          <w:rFonts w:eastAsia="Arial" w:cs="Arial" w:ascii="Arial" w:hAnsi="Arial"/>
          <w:color w:val="auto"/>
          <w:spacing w:val="0"/>
          <w:w w:val="100"/>
          <w:sz w:val="20"/>
          <w:szCs w:val="20"/>
          <w:lang w:val="ro-RO"/>
        </w:rPr>
        <w:t>Prin semnătura din tabelul nominal de mai jos, fiecare persoană des</w:t>
      </w:r>
      <w:r>
        <w:rPr>
          <w:rFonts w:eastAsia="Arial" w:cs="Arial" w:ascii="Arial" w:hAnsi="Arial"/>
          <w:color w:val="auto"/>
          <w:spacing w:val="0"/>
          <w:w w:val="100"/>
          <w:sz w:val="20"/>
          <w:szCs w:val="20"/>
          <w:lang w:val="ro-RO"/>
        </w:rPr>
        <w:t>e</w:t>
      </w:r>
      <w:r>
        <w:rPr>
          <w:rStyle w:val="tpa1"/>
          <w:rFonts w:eastAsia="Arial" w:cs="Arial" w:ascii="Arial" w:hAnsi="Arial"/>
          <w:color w:val="auto"/>
          <w:spacing w:val="0"/>
          <w:w w:val="100"/>
          <w:sz w:val="20"/>
          <w:szCs w:val="20"/>
          <w:lang w:val="ro-RO"/>
        </w:rPr>
        <w:t>mnată confirmă că a luat cunoștință de prezenta decizie și se obligă să respecte întocmai obligațiile, atribuțiile și răspunderile ce reies din decizia {{client.legalName}} nr. {{fire.decisionNumbers.openFire}}</w:t>
      </w:r>
      <w:r>
        <w:rPr>
          <w:rStyle w:val="PageNumber"/>
          <w:rFonts w:eastAsia="Arial" w:cs="Arial" w:ascii="Arial" w:hAnsi="Arial"/>
          <w:color w:val="auto"/>
          <w:spacing w:val="0"/>
          <w:w w:val="100"/>
          <w:sz w:val="20"/>
          <w:szCs w:val="20"/>
          <w:lang w:val="ro-RO"/>
        </w:rPr>
        <w:t/>
      </w:r>
      <w:r>
        <w:rPr>
          <w:rStyle w:val="tpa1"/>
          <w:rFonts w:eastAsia="Arial" w:cs="Arial" w:ascii="Arial" w:hAnsi="Arial"/>
          <w:color w:val="auto"/>
          <w:spacing w:val="0"/>
          <w:w w:val="100"/>
          <w:sz w:val="20"/>
          <w:szCs w:val="20"/>
          <w:lang w:val="ro-RO"/>
        </w:rPr>
        <w:t/>
      </w:r>
      <w:r>
        <w:rPr>
          <w:rFonts w:eastAsia="Arial" w:cs="Arial" w:ascii="Arial" w:hAnsi="Arial"/>
          <w:color w:val="auto"/>
          <w:spacing w:val="0"/>
          <w:w w:val="100"/>
          <w:sz w:val="20"/>
          <w:szCs w:val="20"/>
          <w:lang w:val="ro-RO"/>
        </w:rPr>
        <w:t xml:space="preserve"> din {{issueDate}}.</w:t>
      </w:r>
    </w:p>
    <w:tbl>
      <w:tblPr>
        <w:tblW w:w="5000" w:type="pct"/>
        <w:jc w:val="left"/>
        <w:tblInd w:w="0" w:type="dxa"/>
        <w:tblLayout w:type="fixed"/>
        <w:tblCellMar>
          <w:top w:w="17" w:type="dxa"/>
          <w:left w:w="108" w:type="dxa"/>
          <w:bottom w:w="17" w:type="dxa"/>
          <w:right w:w="108" w:type="dxa"/>
        </w:tblCellMar>
      </w:tblPr>
      <w:tblGrid>
        <w:gridCol w:w="621"/>
        <w:gridCol w:w="3458"/>
        <w:gridCol w:w="2076"/>
        <w:gridCol w:w="1297"/>
        <w:gridCol w:w="1903"/>
      </w:tblGrid>
      <w:tr>
        <w:trPr>
          <w:tblHeader w:val="true"/>
          <w:trHeight w:val="70" w:hRule="atLeast"/>
        </w:trPr>
        <w:tc>
          <w:tcPr>
            <w:tcW w:w="621"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keepNext w:val="true"/>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Nr. crt.</w:t>
            </w:r>
          </w:p>
        </w:tc>
        <w:tc>
          <w:tcPr>
            <w:tcW w:w="3458"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Numele și prenumele</w:t>
            </w:r>
          </w:p>
        </w:tc>
        <w:tc>
          <w:tcPr>
            <w:tcW w:w="2076"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Funcția</w:t>
            </w:r>
          </w:p>
        </w:tc>
        <w:tc>
          <w:tcPr>
            <w:tcW w:w="1297"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Data primirii</w:t>
            </w:r>
          </w:p>
        </w:tc>
        <w:tc>
          <w:tcPr>
            <w:tcW w:w="1903"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Semnătura de primire</w:t>
            </w:r>
          </w:p>
        </w:tc>
      </w:tr>
      <w:tr>
        <w:trPr>
          <w:trHeight w:val="29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2"/>
              </w:numPr>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rPr>
                <w:rFonts w:ascii="Arial" w:hAnsi="Arial" w:cs="Arial"/>
                <w:sz w:val="20"/>
                <w:szCs w:val="20"/>
              </w:rPr>
            </w:pPr>
            <w:r>
              <w:rPr>
                <w:rFonts w:eastAsia="Arial" w:cs="Arial" w:ascii="Arial" w:hAnsi="Arial"/>
                <w:color w:val="auto"/>
                <w:spacing w:val="0"/>
                <w:w w:val="100"/>
                <w:sz w:val="20"/>
                <w:szCs w:val="20"/>
                <w:lang w:val="ro-RO"/>
              </w:rPr>
              <w:t>{{#fire.designated}}{{name}}</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{{jobTitle}}</w:t>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{{issueDate}}{{/fire.designated}}</w:t>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r>
        <w:trPr>
          <w:trHeight w:val="29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2"/>
              </w:numPr>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r>
        <w:trPr>
          <w:trHeight w:val="29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2"/>
              </w:numPr>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bl>
    <w:p>
      <w:pPr>
        <w:pStyle w:val="Normal"/>
        <w:widowControl/>
        <w:spacing w:before="0" w:after="0"/>
        <w:ind w:hanging="0"/>
        <w:jc w:val="left"/>
        <w:rPr>
          <w:rFonts w:ascii="Arial" w:hAnsi="Arial" w:cs="Arial"/>
          <w:sz w:val="2"/>
          <w:szCs w:val="20"/>
        </w:rPr>
      </w:pPr>
      <w:r>
        <w:rPr>
          <w:rFonts w:eastAsia="Arial" w:cs="Arial" w:ascii="Arial" w:hAnsi="Arial"/>
          <w:color w:val="auto"/>
          <w:spacing w:val="0"/>
          <w:w w:val="100"/>
          <w:sz w:val="2"/>
          <w:szCs w:val="20"/>
          <w:lang w:val="ro-RO"/>
        </w:rPr>
      </w:r>
    </w:p>
    <w:sectPr>
      <w:footerReference w:type="even" r:id="rId2"/>
      <w:footerReference w:type="default" r:id="rId3"/>
      <w:footerReference w:type="first" r:id="rId4"/>
      <w:type w:val="nextPage"/>
      <w:pgSz w:w="11906" w:h="16838"/>
      <w:pgMar w:left="1417" w:right="1134" w:gutter="0" w:header="0" w:top="1134" w:footer="68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Wingdings">
    <w:charset w:val="02"/>
    <w:family w:val="roman"/>
    <w:pitch w:val="variable"/>
  </w:font>
  <w:font w:name="Arial">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urier New">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ind w:hanging="0" w:left="0" w:right="0"/>
      <w:jc w:val="center"/>
      <w:rPr>
        <w:b/>
        <w:bCs/>
        <w:color w:val="7A7A7A"/>
        <w:sz w:val="15"/>
        <w:szCs w:val="15"/>
      </w:rPr>
    </w:pPr>
    <w:r>
      <w:rPr>
        <w:rFonts w:eastAsia="Arial" w:cs="Arial" w:ascii="Arial" w:hAnsi="Arial"/>
        <w:b w:val="false"/>
        <w:bCs/>
        <w:color w:val="7A7A7A"/>
        <w:spacing w:val="0"/>
        <w:w w:val="100"/>
        <w:sz w:val="15"/>
        <w:szCs w:val="15"/>
        <w:lang w:val="ro-RO"/>
      </w:rPr>
      <w:t>{{#branding}}Document generat cu SSM Ușor · ssmusor.ro{{/branding}}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ind w:hanging="0" w:left="0" w:right="0"/>
      <w:jc w:val="center"/>
      <w:rPr>
        <w:b/>
        <w:bCs/>
        <w:color w:val="7A7A7A"/>
        <w:sz w:val="15"/>
        <w:szCs w:val="15"/>
      </w:rPr>
    </w:pPr>
    <w:r>
      <w:rPr>
        <w:rFonts w:eastAsia="Arial" w:cs="Arial" w:ascii="Arial" w:hAnsi="Arial"/>
        <w:b w:val="false"/>
        <w:bCs/>
        <w:color w:val="7A7A7A"/>
        <w:spacing w:val="0"/>
        <w:w w:val="100"/>
        <w:sz w:val="15"/>
        <w:szCs w:val="15"/>
        <w:lang w:val="ro-RO"/>
      </w:rPr>
      <w:t>{{#branding}}Document generat cu SSM Ușor · ssmusor.ro{{/branding}}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ind w:hanging="0" w:left="0" w:right="0"/>
      <w:jc w:val="center"/>
      <w:rPr>
        <w:b/>
        <w:bCs/>
        <w:color w:val="7A7A7A"/>
        <w:sz w:val="15"/>
        <w:szCs w:val="15"/>
      </w:rPr>
    </w:pPr>
    <w:r>
      <w:rPr>
        <w:rFonts w:eastAsia="Arial" w:cs="Arial" w:ascii="Arial" w:hAnsi="Arial"/>
        <w:b w:val="false"/>
        <w:bCs/>
        <w:color w:val="7A7A7A"/>
        <w:spacing w:val="0"/>
        <w:w w:val="100"/>
        <w:sz w:val="15"/>
        <w:szCs w:val="15"/>
        <w:lang w:val="ro-RO"/>
      </w:rPr>
      <w:t>{{#branding}}Document generat cu SSM Ușor · ssmusor.ro{{/branding}}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suff w:val="space"/>
      <w:lvlText w:val="Art. %1."/>
      <w:lvlJc w:val="left"/>
      <w:pPr>
        <w:tabs>
          <w:tab w:val="num" w:pos="0"/>
        </w:tabs>
        <w:ind w:left="0" w:hanging="0"/>
      </w:pPr>
      <w:rPr>
        <w:rFonts w:ascii="Arial" w:hAnsi="Arial"/>
        <w:b/>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Times New Roman" w:hAnsi="Times New Roman" w:eastAsia="Times New Roman" w:cs="Times New Roman"/>
      <w:color w:val="auto"/>
      <w:kern w:val="0"/>
      <w:sz w:val="24"/>
      <w:szCs w:val="24"/>
      <w:lang w:val="ro-RO" w:eastAsia="zh-CN" w:bidi="ar-SA"/>
    </w:rPr>
  </w:style>
  <w:style w:type="paragraph" w:styleId="Heading1">
    <w:name w:val="heading 1"/>
    <w:basedOn w:val="Normal"/>
    <w:next w:val="Normal"/>
    <w:pPr>
      <w:keepNext w:val="true"/>
      <w:numPr>
        <w:ilvl w:val="0"/>
        <w:numId w:val="1"/>
      </w:numPr>
      <w:jc w:val="center"/>
      <w:outlineLvl w:val="0"/>
    </w:pPr>
    <w:rPr>
      <w:b/>
      <w:bCs/>
      <w:sz w:val="32"/>
      <w:u w:val="single"/>
    </w:rPr>
  </w:style>
  <w:style w:type="paragraph" w:styleId="Heading2">
    <w:name w:val="heading 2"/>
    <w:basedOn w:val="Normal"/>
    <w:next w:val="Normal"/>
    <w:pPr>
      <w:keepNext w:val="true"/>
      <w:numPr>
        <w:ilvl w:val="1"/>
        <w:numId w:val="1"/>
      </w:numPr>
      <w:jc w:val="center"/>
      <w:outlineLvl w:val="1"/>
    </w:pPr>
    <w:rPr>
      <w:b/>
      <w:bCs/>
      <w:sz w:val="36"/>
    </w:rPr>
  </w:style>
  <w:style w:type="paragraph" w:styleId="Heading3">
    <w:name w:val="heading 3"/>
    <w:basedOn w:val="Normal"/>
    <w:next w:val="Normal"/>
    <w:pPr>
      <w:keepNext w:val="true"/>
      <w:numPr>
        <w:ilvl w:val="2"/>
        <w:numId w:val="1"/>
      </w:numPr>
      <w:ind w:hanging="0" w:left="1140" w:right="0"/>
      <w:outlineLvl w:val="2"/>
    </w:pPr>
    <w:rPr>
      <w:b/>
      <w:bCs/>
    </w:rPr>
  </w:style>
  <w:style w:type="paragraph" w:styleId="Heading4">
    <w:name w:val="heading 4"/>
    <w:basedOn w:val="Normal"/>
    <w:next w:val="Normal"/>
    <w:pPr>
      <w:keepNext w:val="true"/>
      <w:numPr>
        <w:ilvl w:val="3"/>
        <w:numId w:val="1"/>
      </w:numPr>
      <w:ind w:firstLine="708" w:left="1416" w:right="0"/>
      <w:jc w:val="both"/>
      <w:outlineLvl w:val="3"/>
    </w:pPr>
    <w:rPr>
      <w:b/>
      <w:bCs/>
      <w:color w:val="000000"/>
      <w:sz w:val="28"/>
    </w:rPr>
  </w:style>
  <w:style w:type="paragraph" w:styleId="Heading5">
    <w:name w:val="heading 5"/>
    <w:basedOn w:val="Normal"/>
    <w:next w:val="Normal"/>
    <w:pPr>
      <w:keepNext w:val="true"/>
      <w:numPr>
        <w:ilvl w:val="4"/>
        <w:numId w:val="1"/>
      </w:numPr>
      <w:ind w:firstLine="708" w:left="2832" w:right="0"/>
      <w:jc w:val="both"/>
      <w:outlineLvl w:val="4"/>
    </w:pPr>
    <w:rPr>
      <w:b/>
      <w:bCs/>
      <w:color w:val="000000"/>
      <w:sz w:val="28"/>
    </w:rPr>
  </w:style>
  <w:style w:type="paragraph" w:styleId="Heading7">
    <w:name w:val="heading 7"/>
    <w:basedOn w:val="Normal"/>
    <w:next w:val="Normal"/>
    <w:pPr>
      <w:keepNext w:val="true"/>
      <w:numPr>
        <w:ilvl w:val="6"/>
        <w:numId w:val="1"/>
      </w:numPr>
      <w:jc w:val="center"/>
      <w:outlineLvl w:val="6"/>
    </w:pPr>
    <w:rPr>
      <w:sz w:val="28"/>
      <w:lang w:val="en-US"/>
    </w:rPr>
  </w:style>
  <w:style w:type="character" w:styleId="WW8Num1z2">
    <w:name w:val="WW8Num1z2"/>
    <w:rPr>
      <w:rFonts w:ascii="Symbol" w:hAnsi="Symbol" w:cs="Symbol"/>
    </w:rPr>
  </w:style>
  <w:style w:type="character" w:styleId="WW8Num3z0">
    <w:name w:val="WW8Num3z0"/>
    <w:rPr>
      <w:rFonts w:ascii="Wingdings" w:hAnsi="Wingdings" w:cs="Wingdings"/>
    </w:rPr>
  </w:style>
  <w:style w:type="character" w:styleId="WW8Num4z0">
    <w:name w:val="WW8Num4z0"/>
    <w:rPr>
      <w:b/>
    </w:rPr>
  </w:style>
  <w:style w:type="character" w:styleId="WW8Num5z0">
    <w:name w:val="WW8Num5z0"/>
    <w:rPr>
      <w:rFonts w:ascii="Wingdings" w:hAnsi="Wingdings" w:cs="Wingdings"/>
    </w:rPr>
  </w:style>
  <w:style w:type="character" w:styleId="WW8Num7z0">
    <w:name w:val="WW8Num7z0"/>
    <w:rPr>
      <w:b/>
    </w:rPr>
  </w:style>
  <w:style w:type="character" w:styleId="DefaultParagraphFont">
    <w:name w:val="Default Paragraph Font"/>
    <w:rPr/>
  </w:style>
  <w:style w:type="character" w:styleId="PageNumber">
    <w:name w:val="page number"/>
    <w:basedOn w:val="DefaultParagraphFont"/>
    <w:rPr/>
  </w:style>
  <w:style w:type="character" w:styleId="do1">
    <w:name w:val="do1"/>
    <w:rPr>
      <w:b/>
      <w:bCs/>
      <w:sz w:val="26"/>
      <w:szCs w:val="26"/>
    </w:rPr>
  </w:style>
  <w:style w:type="character" w:styleId="tal1">
    <w:name w:val="tal1"/>
    <w:basedOn w:val="DefaultParagraphFont"/>
    <w:rPr/>
  </w:style>
  <w:style w:type="character" w:styleId="tpa1">
    <w:name w:val="tpa1"/>
    <w:basedOn w:val="DefaultParagraphFont"/>
    <w:rPr/>
  </w:style>
  <w:style w:type="character" w:styleId="ar1">
    <w:name w:val="ar1"/>
    <w:rPr>
      <w:b/>
      <w:bCs/>
      <w:sz w:val="22"/>
      <w:szCs w:val="22"/>
    </w:rPr>
  </w:style>
  <w:style w:type="character" w:styleId="li1">
    <w:name w:val="li1"/>
    <w:rPr>
      <w:b/>
      <w:bCs/>
    </w:rPr>
  </w:style>
  <w:style w:type="character" w:styleId="tli1">
    <w:name w:val="tli1"/>
    <w:basedOn w:val="DefaultParagraphFont"/>
    <w:rPr/>
  </w:style>
  <w:style w:type="character" w:styleId="ArticleLabel">
    <w:name w:val="ArticleLabel"/>
    <w:rPr>
      <w:rFonts w:ascii="Arial" w:hAnsi="Arial"/>
      <w:b/>
      <w:sz w:val="20"/>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Hyperlink">
    <w:name w:val="Hyperlink"/>
    <w:rPr>
      <w:u w:val="single"/>
    </w:rPr>
  </w:style>
  <w:style w:type="character" w:styleId="FollowedHyperlink">
    <w:name w:val="FollowedHyperlink"/>
    <w:rPr>
      <w:u w:val="single"/>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Emphasis">
    <w:name w:val="Emphasis"/>
    <w:rPr>
      <w:i/>
      <w:iCs/>
    </w:rPr>
  </w:style>
  <w:style w:type="character" w:styleId="Quotation">
    <w:name w:val="Quotation"/>
    <w:rPr>
      <w:i/>
      <w:iCs/>
    </w:rPr>
  </w:style>
  <w:style w:type="character" w:styleId="Strong">
    <w:name w:val="Strong"/>
    <w:rPr>
      <w:b/>
      <w:bCs/>
    </w:rPr>
  </w:style>
  <w:style w:type="character" w:styleId="SourceText">
    <w:name w:val="Source Text"/>
    <w:rPr>
      <w:rFonts w:ascii="Liberation Mono" w:hAnsi="Liberation Mono" w:eastAsia="Arial" w:cs="Liberation Mono"/>
    </w:rPr>
  </w:style>
  <w:style w:type="character" w:styleId="Example">
    <w:name w:val="Example"/>
    <w:rPr>
      <w:rFonts w:ascii="Liberation Mono" w:hAnsi="Liberation Mono" w:eastAsia="Arial" w:cs="Liberation Mono"/>
    </w:rPr>
  </w:style>
  <w:style w:type="character" w:styleId="UserEntry">
    <w:name w:val="User Entry"/>
    <w:rPr>
      <w:rFonts w:ascii="Liberation Mono" w:hAnsi="Liberation Mono" w:eastAsia="Arial"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Arial" w:cs="Liberation Mono"/>
    </w:rPr>
  </w:style>
  <w:style w:type="paragraph" w:styleId="Heading">
    <w:name w:val="Heading"/>
    <w:basedOn w:val="Normal"/>
    <w:next w:val="BodyText"/>
    <w:pPr>
      <w:keepNext w:val="true"/>
      <w:spacing w:before="240" w:after="120"/>
    </w:pPr>
    <w:rPr>
      <w:rFonts w:ascii="Arial" w:hAnsi="Arial" w:eastAsia="Arial" w:cs="Arial"/>
      <w:sz w:val="28"/>
      <w:szCs w:val="28"/>
    </w:rPr>
  </w:style>
  <w:style w:type="paragraph" w:styleId="BodyText">
    <w:name w:val="Body Text"/>
    <w:basedOn w:val="Normal"/>
    <w:pPr>
      <w:jc w:val="both"/>
    </w:pPr>
    <w:rPr>
      <w:sz w:val="28"/>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HeaderandFooter">
    <w:name w:val="Header and Footer"/>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BodyTextIndent">
    <w:name w:val="Body Text Indent"/>
    <w:basedOn w:val="Normal"/>
    <w:pPr>
      <w:ind w:firstLine="708" w:left="0" w:right="0"/>
      <w:jc w:val="both"/>
    </w:pPr>
    <w:rPr>
      <w:sz w:val="28"/>
    </w:rPr>
  </w:style>
  <w:style w:type="paragraph" w:styleId="HTMLPreformatted">
    <w:name w:val="HTML Preformatted"/>
    <w:basedOn w:val="Normal"/>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val="en-US"/>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Articles">
    <w:name w:val="Articles"/>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LibreOffice/26.8.0.3$Linux_AARCH64 LibreOffice_project/680$Build-3</Application>
  <AppVersion>15.0000</AppVersion>
  <Pages>2</Pages>
  <Words>1113</Words>
  <Characters>6701</Characters>
  <CharactersWithSpaces>7741</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2024-03-04T10:09:00Z</dcterms:created>
  <dc:creator/>
  <dc:description/>
  <dc:language>ro-RO</dc:language>
  <cp:lastModifiedBy/>
  <cp:lastPrinted>2024-01-26T17:49:00Z</cp:lastPrinted>
  <dcterms:modified xsi:type="dcterms:W3CDTF">2026-10-10T01:57:51Z</dcterms:modified>
  <cp:revision>6</cp:revision>
  <dc:subject/>
  <dc:title/>
</cp:coreProperties>
</file>