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7"/>
        <w:keepNext w:val="true"/>
        <w:widowControl/>
        <w:numPr>
          <w:ilvl w:val="6"/>
          <w:numId w:val="1"/>
        </w:numPr>
        <w:spacing w:before="0" w:after="0"/>
        <w:ind w:hanging="0" w:lef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DECIZIA</w:t>
      </w:r>
    </w:p>
    <w:p>
      <w:pPr>
        <w:pStyle w:val="Heading7"/>
        <w:widowControl/>
        <w:numPr>
          <w:ilvl w:val="6"/>
          <w:numId w:val="1"/>
        </w:numPr>
        <w:spacing w:before="0" w:after="240"/>
        <w:ind w:hanging="0" w:left="0"/>
        <w:jc w:val="center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Nr. {{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fire.d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ecisionNumbers.smoking}} din {{issueDate}}</w:t>
      </w:r>
    </w:p>
    <w:p>
      <w:pPr>
        <w:pStyle w:val="Normal"/>
        <w:widowControl/>
        <w:spacing w:before="0" w:after="120"/>
        <w:ind w:hanging="0" w:right="0"/>
        <w:jc w:val="left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În baza prevederilor Legii 307/2006 – art. 19 alin. (1) lit. a), al</w:t>
      </w:r>
      <w:r>
        <w:rPr>
          <w:rFonts w:eastAsia="Arial" w:cs="Arial" w:ascii="Arial" w:hAnsi="Arial"/>
          <w:bCs/>
          <w:color w:val="auto"/>
          <w:spacing w:val="0"/>
          <w:w w:val="100"/>
          <w:sz w:val="20"/>
          <w:szCs w:val="20"/>
          <w:lang w:val="ro-RO"/>
        </w:rPr>
        <w:t>e OMAI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163/2007 – art. 5 lit. b), art. 17 lit. c) și art. 106 și ale Legii 349/2002 – art. 3 alin. (1), {{client.representati</w:t>
      </w:r>
      <w:r>
        <w:rPr>
          <w:rStyle w:val="do1"/>
          <w:rFonts w:eastAsia="Arial" w:cs="Arial" w:ascii="Arial" w:hAnsi="Arial"/>
          <w:b w:val="false"/>
          <w:color w:val="auto"/>
          <w:spacing w:val="0"/>
          <w:w w:val="100"/>
          <w:sz w:val="20"/>
          <w:szCs w:val="20"/>
          <w:lang w:val="ro-RO"/>
        </w:rPr>
        <w:t>veName}}, în calitate de {{fire.representativeRol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eRunOn}} în cadrul {{client.legalName}}, începând cu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data de {{issueDate}},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DECIDE:</w:t>
      </w:r>
    </w:p>
    <w:p>
      <w:pPr>
        <w:pStyle w:val="Normal"/>
        <w:keepNext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Modul de reglementare a fumatului în spațiile {{client.legalName}}, astfel: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În cadrul {{client.legalName}} se vor respecta regulile privind fumatul stabilite prin prezenta decizie. De supravegherea respectării acestora răspunde {{fire.coordinator.name}}, având funcția de {{fire.coordinator.jobTitleRunOn}}, coordonator privind apărarea împotriva incendiilor, iar la fiecare loc de muncă, conducătorul locului de muncă desemnat prin Decizia nr. {{fire.decisionNumbers.organization}}.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Conform Legii 349/2002 – art. 3 alin. (1), fumatul este interzis în toate spațiile închise de la locul de muncă.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{{#fire.smoking.forbiddenEverywhere}}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Fumatul este interzis în toate spațiile și pe întreaga incintă a {{client.legalName}}, atât în interiorul, cât și în exteriorul clădirilor.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{{/fire.smoking.forbiddenEverywhere}}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{{#fire.smoking.designatedPlaces}}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 xml:space="preserve">Fumatul este permis numai în locurile special amenajate în exteriorul clădirilor{{#fire.smoking.place}}, {{fire.smoking.place}}{{/fire.smoking.place}}, marcate cu indicatorul „LOC PENTRU FUMAT” (OMAI 163/2007 – art. 106 alin. (5)). Locurile pentru fumat sunt prevăzute cu scrumiere sau vase cu apă, nisip sau pământ, cu instrucțiuni afișate, cuprinzând măsuri de prevenire a incendiilor și reguli de comportare în caz de incendiu, și cu mijloace tehnice de apărare împotriva incendiilor (OMAI 163/2007 – art. 106 alin. (7)). În afara acestor locuri, fumatul este interzis în toate spațiile și pe întreaga incintă a {{client.legalName}}.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Locurile pentru fumat stabilite în exteriorul clădirilor vor fi amplasate la o distanță mai mare de 40 m față de locurile în care există pericol de explozie: gaze și lichide combustibile, explozivi, vapori inflamabili etc., 10 m față de locurile în care există materiale solide combustibile: lemn, textile, hârtie, carton asfaltat, bitum, și 50 m față de culturile de cereale păioase în perioada coacerii și recoltării sau de zonele împădurite (OMAI 163/2007 – art. 106 alin. (6)).</w:t>
      </w:r>
    </w:p>
    <w:p>
      <w:pPr>
        <w:pStyle w:val="Normal"/>
        <w:keepNext w:val="false"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În locurile în care este admis fumatul, se interzice golirea scrumierelor și aruncarea mucurilor de țigări în coșurile de hârtii.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{{/fire.smoking.designatedPlaces}}</w:t>
      </w:r>
    </w:p>
    <w:p>
      <w:pPr>
        <w:pStyle w:val="Normal"/>
        <w:keepNext/>
        <w:pageBreakBefore w:val="false"/>
        <w:widowControl/>
        <w:numPr>
          <w:ilvl w:val="0"/>
          <w:numId w:val="3"/>
        </w:numPr>
        <w:spacing w:before="120" w:after="60"/>
        <w:ind w:hanging="0" w:left="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>În cadrul {{client.legalName}} se vor respecta, de asemenea, următoarele reguli: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/>
          <w:bCs/>
          <w:i w:val="false"/>
          <w:color w:val="auto"/>
          <w:spacing w:val="0"/>
          <w:w w:val="100"/>
          <w:sz w:val="20"/>
          <w:szCs w:val="20"/>
          <w:lang w:val="ro-RO"/>
        </w:rPr>
        <w:t>a)</w:t>
      </w: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ab/>
        <w:t>salariații care nu respectă regulile stabilite pentru fumat vor suporta consecințele prevăzute de legislația în vigoare;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/>
          <w:bCs/>
          <w:i w:val="false"/>
          <w:color w:val="auto"/>
          <w:spacing w:val="0"/>
          <w:w w:val="100"/>
          <w:sz w:val="20"/>
          <w:szCs w:val="20"/>
          <w:lang w:val="ro-RO"/>
        </w:rPr>
        <w:t>b)</w:t>
      </w: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ab/>
        <w:t>la încheierea programului de lucru, conducătorii locurilor de muncă vor verifica spațiile pe care le au în responsabilitate, pentru depistarea și înlăturarea eventualelor cauze de incendiu;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/>
          <w:bCs/>
          <w:i w:val="false"/>
          <w:color w:val="auto"/>
          <w:spacing w:val="0"/>
          <w:w w:val="100"/>
          <w:sz w:val="20"/>
          <w:szCs w:val="20"/>
          <w:lang w:val="ro-RO"/>
        </w:rPr>
        <w:t>c)</w:t>
      </w: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ab/>
        <w:t>salariații {{client.legalName}} se vor asigura zilnic de excluderea oricărei posibilități de provocare a unor incendii;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/>
          <w:bCs/>
          <w:i w:val="false"/>
          <w:color w:val="auto"/>
          <w:spacing w:val="0"/>
          <w:w w:val="100"/>
          <w:sz w:val="20"/>
          <w:szCs w:val="20"/>
          <w:lang w:val="ro-RO"/>
        </w:rPr>
        <w:t>d)</w:t>
      </w: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ab/>
        <w:t>la terminarea programului se va scoate de sub tensiune orice aparat electric;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40"/>
        <w:ind w:hanging="360" w:left="72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/>
          <w:bCs/>
          <w:i w:val="false"/>
          <w:color w:val="auto"/>
          <w:spacing w:val="0"/>
          <w:w w:val="100"/>
          <w:sz w:val="20"/>
          <w:szCs w:val="20"/>
          <w:lang w:val="ro-RO"/>
        </w:rPr>
        <w:t>e)</w:t>
      </w: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ab/>
        <w:t>în perioada anotimpului rece, se interzice folosirea aparatelor sau dispozitivelor de încălzit cu flacără deschisă în interiorul unității;</w:t>
      </w:r>
    </w:p>
    <w:p>
      <w:pPr>
        <w:pStyle w:val="Normal"/>
        <w:keepNext w:val="false"/>
        <w:pageBreakBefore w:val="false"/>
        <w:widowControl/>
        <w:numPr>
          <w:ilvl w:val="0"/>
          <w:numId w:val="0"/>
        </w:numPr>
        <w:spacing w:before="0" w:after="120"/>
        <w:ind w:hanging="360" w:left="720"/>
        <w:jc w:val="left"/>
        <w:rPr>
          <w:rFonts w:ascii="Arial" w:hAnsi="Arial" w:cs="Arial"/>
          <w:bCs/>
          <w:sz w:val="20"/>
          <w:szCs w:val="20"/>
        </w:rPr>
      </w:pPr>
      <w:r>
        <w:rPr>
          <w:rStyle w:val="PageNumber"/>
          <w:rFonts w:eastAsia="Arial" w:cs="Arial" w:ascii="Arial" w:hAnsi="Arial"/>
          <w:b/>
          <w:bCs/>
          <w:i w:val="false"/>
          <w:color w:val="auto"/>
          <w:spacing w:val="0"/>
          <w:w w:val="100"/>
          <w:sz w:val="20"/>
          <w:szCs w:val="20"/>
          <w:lang w:val="ro-RO"/>
        </w:rPr>
        <w:t>f)</w:t>
      </w:r>
      <w:r>
        <w:rPr>
          <w:rStyle w:val="PageNumber"/>
          <w:rFonts w:eastAsia="Arial" w:cs="Arial" w:ascii="Arial" w:hAnsi="Arial"/>
          <w:b w:val="false"/>
          <w:bCs/>
          <w:i w:val="false"/>
          <w:color w:val="auto"/>
          <w:spacing w:val="0"/>
          <w:w w:val="100"/>
          <w:sz w:val="20"/>
          <w:szCs w:val="20"/>
          <w:lang w:val="ro-RO"/>
        </w:rPr>
        <w:tab/>
        <w:t>coordonatorul privind apărarea împotriva incendiilor va verifica periodic locurile de muncă, pentru depistarea și înlăturarea eventualelor cauze de incendiu.</w:t>
      </w:r>
    </w:p>
    <w:p>
      <w:pPr>
        <w:pStyle w:val="Normal"/>
        <w:keepNext w:val="true"/>
        <w:widowControl/>
        <w:spacing w:before="480" w:after="0"/>
        <w:ind w:hanging="0" w:left="0" w:righ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</w:t>
      </w:r>
      <w:r>
        <w:rPr>
          <w:rStyle w:val="PageNumber"/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ent.legalName}}</w:t>
      </w:r>
    </w:p>
    <w:p>
      <w:pPr>
        <w:pStyle w:val="Normal"/>
        <w:keepNext w:val="true"/>
        <w:widowControl/>
        <w:spacing w:before="0" w:after="240"/>
        <w:ind w:hanging="0" w:left="0" w:right="0"/>
        <w:jc w:val="center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{{client.representativeRole}}</w:t>
      </w:r>
    </w:p>
    <w:p>
      <w:pPr>
        <w:pStyle w:val="Normal"/>
        <w:keepNext w:val="false"/>
        <w:widowControl/>
        <w:spacing w:before="0" w:after="120"/>
        <w:ind w:hanging="0" w:left="0" w:right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{{client.representativeName}}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sz w:val="20"/>
          <w:szCs w:val="20"/>
          <w:lang w:val="it-CH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PROCES-VERBAL DE LUARE DE CUNOȘTINȚĂ</w:t>
      </w:r>
    </w:p>
    <w:p>
      <w:pPr>
        <w:pStyle w:val="Normal"/>
        <w:keepNext w:val="true"/>
        <w:widowControl/>
        <w:spacing w:before="0" w:after="120"/>
        <w:ind w:hanging="0" w:right="0"/>
        <w:jc w:val="left"/>
        <w:rPr>
          <w:rStyle w:val="tpa1"/>
          <w:rFonts w:ascii="Arial" w:hAnsi="Arial" w:cs="Arial"/>
          <w:sz w:val="20"/>
          <w:szCs w:val="20"/>
          <w:lang w:val="it-CH"/>
        </w:rPr>
      </w:pP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Prin semnătura din tabelul nominal de mai jos, fiecare persoană des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mnată confirmă că a luat cunoștință de prezenta decizie și se obligă să respecte întocmai obligațiile, atribuțiile și răspunderile ce reies din decizia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nr. {{fire.deci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sionNumbers.smoking}} din {{issueDate}}.</w:t>
      </w:r>
    </w:p>
    <w:tbl>
      <w:tblPr>
        <w:tblW w:w="5000" w:type="pct"/>
        <w:jc w:val="left"/>
        <w:tblInd w:w="0" w:type="dxa"/>
        <w:tblLayout w:type="fixed"/>
        <w:tblCellMar>
          <w:top w:w="17" w:type="dxa"/>
          <w:left w:w="108" w:type="dxa"/>
          <w:bottom w:w="17" w:type="dxa"/>
          <w:right w:w="108" w:type="dxa"/>
        </w:tblCellMar>
      </w:tblPr>
      <w:tblGrid>
        <w:gridCol w:w="620"/>
        <w:gridCol w:w="3459"/>
        <w:gridCol w:w="2075"/>
        <w:gridCol w:w="1298"/>
        <w:gridCol w:w="1903"/>
      </w:tblGrid>
      <w:tr>
        <w:trPr>
          <w:tblHeader w:val="true"/>
          <w:trHeight w:val="70" w:hRule="atLeast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Numele și prenumele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Funcția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Data primirii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de primire</w:t>
            </w:r>
          </w:p>
        </w:tc>
      </w:tr>
      <w:tr>
        <w:trPr>
          <w:trHeight w:val="290" w:hRule="atLeast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{{#fire.designated}}{{name}}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{{jobTitle}}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{{issueDate}}{{/fire.designated}}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290" w:hRule="atLeast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290" w:hRule="atLeast"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widowControl/>
        <w:spacing w:before="0" w:after="0"/>
        <w:ind w:hanging="0"/>
        <w:jc w:val="left"/>
        <w:rPr>
          <w:rStyle w:val="tal1"/>
          <w:rFonts w:ascii="Arial" w:hAnsi="Arial" w:cs="Arial"/>
          <w:color w:val="auto"/>
          <w:sz w:val="2"/>
          <w:szCs w:val="20"/>
          <w:lang w:val="ro-RO"/>
        </w:rPr>
      </w:pPr>
      <w:r>
        <w:rPr>
          <w:rFonts w:cs="Arial" w:ascii="Arial" w:hAnsi="Arial"/>
          <w:sz w:val="20"/>
          <w:szCs w:val="20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134" w:gutter="0" w:header="0" w:top="1134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Wingdings">
    <w:charset w:val="02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ind w:hanging="0" w:left="0" w:right="0"/>
      <w:jc w:val="center"/>
      <w:rPr>
        <w:b/>
        <w:bCs/>
        <w:color w:val="7A7A7A"/>
        <w:sz w:val="15"/>
        <w:szCs w:val="15"/>
      </w:rPr>
    </w:pPr>
    <w:r>
      <w:rPr>
        <w:rFonts w:eastAsia="Arial" w:cs="Arial" w:ascii="Arial" w:hAnsi="Arial"/>
        <w:b w:val="false"/>
        <w:bCs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ind w:hanging="0" w:left="0" w:right="0"/>
      <w:jc w:val="center"/>
      <w:rPr>
        <w:b/>
        <w:bCs/>
        <w:color w:val="7A7A7A"/>
        <w:sz w:val="15"/>
        <w:szCs w:val="15"/>
      </w:rPr>
    </w:pPr>
    <w:r>
      <w:rPr>
        <w:rFonts w:eastAsia="Arial" w:cs="Arial" w:ascii="Arial" w:hAnsi="Arial"/>
        <w:b w:val="false"/>
        <w:bCs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0"/>
      <w:ind w:hanging="0" w:left="0" w:right="0"/>
      <w:jc w:val="center"/>
      <w:rPr>
        <w:b/>
        <w:bCs/>
        <w:color w:val="7A7A7A"/>
        <w:sz w:val="15"/>
        <w:szCs w:val="15"/>
      </w:rPr>
    </w:pPr>
    <w:r>
      <w:rPr>
        <w:rFonts w:eastAsia="Arial" w:cs="Arial" w:ascii="Arial" w:hAnsi="Arial"/>
        <w:b w:val="false"/>
        <w:bCs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Art. %1."/>
      <w:lvlJc w:val="left"/>
      <w:pPr>
        <w:tabs>
          <w:tab w:val="num" w:pos="0"/>
        </w:tabs>
        <w:ind w:left="0" w:hanging="0"/>
      </w:pPr>
      <w:rPr>
        <w:rFonts w:ascii="Arial" w:hAnsi="Arial"/>
        <w:b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o-RO" w:eastAsia="zh-CN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b/>
      <w:bCs/>
      <w:sz w:val="32"/>
      <w:u w:val="single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jc w:val="center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ind w:hanging="0" w:left="1140" w:right="0"/>
      <w:outlineLvl w:val="2"/>
    </w:pPr>
    <w:rPr>
      <w:b/>
      <w:bCs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ind w:hanging="0" w:left="720" w:right="0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pPr>
      <w:keepNext w:val="true"/>
      <w:numPr>
        <w:ilvl w:val="4"/>
        <w:numId w:val="1"/>
      </w:numPr>
      <w:ind w:firstLine="708" w:left="2832" w:right="0"/>
      <w:jc w:val="both"/>
      <w:outlineLvl w:val="4"/>
    </w:pPr>
    <w:rPr>
      <w:b/>
      <w:bCs/>
      <w:color w:val="FF0000"/>
      <w:sz w:val="28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center"/>
      <w:outlineLvl w:val="6"/>
    </w:pPr>
    <w:rPr>
      <w:sz w:val="28"/>
      <w:lang w:val="en-US"/>
    </w:rPr>
  </w:style>
  <w:style w:type="character" w:styleId="WW8Num1z2">
    <w:name w:val="WW8Num1z2"/>
    <w:rPr>
      <w:b/>
    </w:rPr>
  </w:style>
  <w:style w:type="character" w:styleId="WW8Num1z4">
    <w:name w:val="WW8Num1z4"/>
    <w:rPr>
      <w:rFonts w:ascii="Times New Roman" w:hAnsi="Times New Roman" w:eastAsia="Times New Roman" w:cs="Times New Roman"/>
    </w:rPr>
  </w:style>
  <w:style w:type="character" w:styleId="WW8Num2z0">
    <w:name w:val="WW8Num2z0"/>
    <w:rPr>
      <w:rFonts w:ascii="Arial" w:hAnsi="Arial" w:eastAsia="Times New Roman" w:cs="Arial"/>
      <w:b/>
    </w:rPr>
  </w:style>
  <w:style w:type="character" w:styleId="WW8Num4z0">
    <w:name w:val="WW8Num4z0"/>
    <w:rPr>
      <w:b/>
      <w:bCs/>
    </w:rPr>
  </w:style>
  <w:style w:type="character" w:styleId="WW8Num5z0">
    <w:name w:val="WW8Num5z0"/>
    <w:rPr>
      <w:rFonts w:ascii="Wingdings" w:hAnsi="Wingdings" w:cs="Wingdings"/>
    </w:rPr>
  </w:style>
  <w:style w:type="character" w:styleId="WW8Num6z0">
    <w:name w:val="WW8Num6z0"/>
    <w:rPr>
      <w:b/>
      <w:bCs/>
    </w:rPr>
  </w:style>
  <w:style w:type="character" w:styleId="WW8Num7z2">
    <w:name w:val="WW8Num7z2"/>
    <w:rPr>
      <w:rFonts w:ascii="Symbol" w:hAnsi="Symbol" w:cs="Symbol"/>
    </w:rPr>
  </w:style>
  <w:style w:type="character" w:styleId="WW8Num7z4">
    <w:name w:val="WW8Num7z4"/>
    <w:rPr>
      <w:rFonts w:ascii="Times New Roman" w:hAnsi="Times New Roman" w:eastAsia="Times New Roman" w:cs="Times New Roman"/>
    </w:rPr>
  </w:style>
  <w:style w:type="character" w:styleId="WW8Num8z0">
    <w:name w:val="WW8Num8z0"/>
    <w:rPr>
      <w:b/>
      <w:bCs/>
    </w:rPr>
  </w:style>
  <w:style w:type="character" w:styleId="WW8Num9z0">
    <w:name w:val="WW8Num9z0"/>
    <w:rPr>
      <w:rFonts w:ascii="Wingdings" w:hAnsi="Wingdings" w:cs="Wingdings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do1">
    <w:name w:val="do1"/>
    <w:rPr>
      <w:b/>
      <w:bCs/>
      <w:sz w:val="26"/>
      <w:szCs w:val="26"/>
    </w:rPr>
  </w:style>
  <w:style w:type="character" w:styleId="tpa1">
    <w:name w:val="tpa1"/>
    <w:basedOn w:val="DefaultParagraphFont"/>
    <w:rPr/>
  </w:style>
  <w:style w:type="character" w:styleId="al1">
    <w:name w:val="al1"/>
    <w:rPr>
      <w:b/>
      <w:bCs/>
    </w:rPr>
  </w:style>
  <w:style w:type="character" w:styleId="tal1">
    <w:name w:val="tal1"/>
    <w:basedOn w:val="DefaultParagraphFont"/>
    <w:rPr/>
  </w:style>
  <w:style w:type="character" w:styleId="ArticleLabel">
    <w:name w:val="ArticleLabel"/>
    <w:rPr>
      <w:rFonts w:ascii="Arial" w:hAnsi="Arial"/>
      <w:b/>
      <w:sz w:val="20"/>
    </w:rPr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Emphasis">
    <w:name w:val="Emphasis"/>
    <w:rPr>
      <w:i/>
      <w:iCs/>
    </w:rPr>
  </w:style>
  <w:style w:type="character" w:styleId="Quotation">
    <w:name w:val="Quotation"/>
    <w:rPr>
      <w:i/>
      <w:iCs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pPr>
      <w:ind w:hanging="0" w:left="720" w:right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Articles">
    <w:name w:val="Articles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LibreOffice/26.8.0.3$Linux_AARCH64 LibreOffice_project/680$Build-3</Application>
  <AppVersion>15.0000</AppVersion>
  <Pages>2</Pages>
  <Words>593</Words>
  <Characters>4105</Characters>
  <CharactersWithSpaces>4651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2024-03-04T10:11:00Z</dcterms:created>
  <dc:creator/>
  <dc:description/>
  <dc:language>ro-RO</dc:language>
  <cp:lastModifiedBy/>
  <cp:lastPrinted>2018-06-03T17:14:00Z</cp:lastPrinted>
  <dcterms:modified xsi:type="dcterms:W3CDTF">2026-10-10T18:46:30Z</dcterms:modified>
  <cp:revision>6</cp:revision>
  <dc:subject/>
  <dc:title/>
</cp:coreProperties>
</file>