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widowControl/>
        <w:spacing w:before="0" w:after="0"/>
        <w:ind w:hanging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4"/>
          <w:szCs w:val="20"/>
          <w:lang w:val="ro-RO"/>
        </w:rPr>
        <w:t>DECIZIA</w:t>
      </w:r>
    </w:p>
    <w:p>
      <w:pPr>
        <w:pStyle w:val="Normal"/>
        <w:widowControl/>
        <w:spacing w:before="0" w:after="240"/>
        <w:ind w:hanging="0"/>
        <w:jc w:val="center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Nr. {{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fire.d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ecisionNumbers.waste}} din {{issueDate}}</w:t>
      </w:r>
    </w:p>
    <w:p>
      <w:pPr>
        <w:pStyle w:val="Normal"/>
        <w:widowControl/>
        <w:spacing w:before="0" w:after="120"/>
        <w:ind w:hanging="0" w:right="0"/>
        <w:jc w:val="left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În baza prevederilor Legii 307/2006 – art. 19 alin. (1) lit. a) și ale OMAI 163/2007 – art. 24 lit. b) și art. 87,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{{cl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ient.representativeName}}, în calitate de {{fire.representativeRoleRunOn}} 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în cadrul {{clie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nt.legalName}}, începând cu data de {{issueDate}},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DECIDE:</w:t>
      </w:r>
    </w:p>
    <w:p>
      <w:pPr>
        <w:pStyle w:val="HTMLPreformatted"/>
        <w:keepNext/>
        <w:widowControl/>
        <w:spacing w:before="0" w:after="120"/>
        <w:ind w:hanging="0"/>
        <w:jc w:val="left"/>
        <w:rPr>
          <w:rFonts w:ascii="Arial" w:hAnsi="Arial" w:cs="Arial"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Modul de colectare a deșeurilor, reziduurilor și ambalajelor combustibile, precum și de distrugere a acestora, astfel:</w:t>
      </w:r>
    </w:p>
    <w:p>
      <w:pPr>
        <w:pStyle w:val="Header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Deșeurile și reziduurile combustibile rezultate din activitatea curentă desfășurată în cadrul {{clien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t.legalName}} se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colectează periodic (în cursul unei zile de activitate) și obligatoriu la sfârșitul zilei de lucru.</w:t>
      </w:r>
    </w:p>
    <w:p>
      <w:pPr>
        <w:pStyle w:val="Header"/>
        <w:keepNext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it-IT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Se colectează următoarele deșeuri: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lang w:val="it-IT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{{#fire.waste.kinds}}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lang w:val="it-IT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{{.}}{{#$last}}.{{/$last}}{{^$last}};{{/$last}}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lang w:val="it-IT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{{/fire.waste.kinds}}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b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Deșeurile și reziduurile lichidelor combustibile se colectează în recipiente metalice, prevăzute cu capace, amplasate în locuri fără pericol de incendiu. Deșeurile se vor preda periodic, în vederea incinerării ecologice.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Depozitarea deșeurilor combustibile timp îndelungat sau în condiții necorespunzătoare este interzisă, deoarece se pot autoaprinde.</w:t>
      </w:r>
    </w:p>
    <w:p>
      <w:pPr>
        <w:pStyle w:val="Normal"/>
        <w:keepNext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b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La distrugerea prin ardere a deșeurilor și a reziduurilor combustibile în instalații autorizate, se vor lua următoarele măsuri:</w:t>
      </w:r>
    </w:p>
    <w:p>
      <w:pPr>
        <w:pStyle w:val="Normal"/>
        <w:widowControl/>
        <w:numPr>
          <w:ilvl w:val="0"/>
          <w:numId w:val="4"/>
        </w:numPr>
        <w:spacing w:before="0" w:after="40"/>
        <w:jc w:val="left"/>
        <w:rPr>
          <w:rFonts w:ascii="Arial" w:hAnsi="Arial" w:cs="Arial"/>
          <w:lang w:val="it-CH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curățarea zonei respective de orice alte materiale combustibile;</w:t>
      </w:r>
    </w:p>
    <w:p>
      <w:pPr>
        <w:pStyle w:val="Normal"/>
        <w:widowControl/>
        <w:numPr>
          <w:ilvl w:val="0"/>
          <w:numId w:val="3"/>
        </w:numPr>
        <w:spacing w:before="0" w:after="4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respectarea distanțelor de siguranță față de construcții, instalații, depozite;</w:t>
      </w:r>
    </w:p>
    <w:p>
      <w:pPr>
        <w:pStyle w:val="Normal"/>
        <w:widowControl/>
        <w:numPr>
          <w:ilvl w:val="0"/>
          <w:numId w:val="3"/>
        </w:numPr>
        <w:spacing w:before="0" w:after="4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supravegherea permanentă a zonei adiacente;</w:t>
      </w:r>
    </w:p>
    <w:p>
      <w:pPr>
        <w:pStyle w:val="Normal"/>
        <w:widowControl/>
        <w:numPr>
          <w:ilvl w:val="0"/>
          <w:numId w:val="3"/>
        </w:numPr>
        <w:spacing w:before="0" w:after="12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asigurarea mijloacelor de primă intervenție.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Se interzice distrugerea, prin ardere în aer liber, a deșeurilor, reziduurilor, gunoaielor și a altor materiale combustibile.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De colectarea deșeurilor răspund {{#fire.waste.collectors}}{{fire.waste.collectors}}{{/fire.waste.collectors}}{{^fire.waste.collectors}}lucrătorii aflați la program din cadrul unității{{/fire.waste.collectors}}, iar de preluarea și neutralizarea lor, {{#fire.waste.contractor}}{{fire.waste.contractor}}, firmă autorizată în acest domeniu{{/fire.waste.contractor}}{{^fire.waste.contractor}}firma contractată, autorizată în acest domeniu{{/fire.waste.contractor}}.</w:t>
      </w:r>
    </w:p>
    <w:p>
      <w:pPr>
        <w:pStyle w:val="Normal"/>
        <w:widowControl/>
        <w:numPr>
          <w:ilvl w:val="0"/>
          <w:numId w:val="5"/>
        </w:numPr>
        <w:spacing w:before="120" w:after="60"/>
        <w:ind w:hanging="0" w:left="0"/>
        <w:jc w:val="left"/>
        <w:rPr>
          <w:rFonts w:ascii="Arial" w:hAnsi="Arial" w:cs="Arial"/>
          <w:lang w:val="pt-BR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Persoana responsabilă cu gestionarea deșeurilor este 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{{fi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re.coordinator.name}}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, având funcția de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{{fire.coordina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tor.jobTitleRun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On}} în cadrul {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{client.legalName}}.</w:t>
      </w:r>
    </w:p>
    <w:p>
      <w:pPr>
        <w:pStyle w:val="Normal"/>
        <w:keepNext w:val="true"/>
        <w:widowControl/>
        <w:spacing w:before="480" w:after="0"/>
        <w:ind w:hanging="0" w:left="0" w:right="0"/>
        <w:jc w:val="center"/>
        <w:rPr>
          <w:rFonts w:ascii="Arial" w:hAnsi="Arial" w:cs="Arial"/>
          <w:b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</w:t>
      </w:r>
      <w:r>
        <w:rPr>
          <w:rStyle w:val="PageNumber"/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ent.legalName}}</w:t>
      </w:r>
    </w:p>
    <w:p>
      <w:pPr>
        <w:pStyle w:val="Normal"/>
        <w:keepNext w:val="true"/>
        <w:widowControl/>
        <w:spacing w:before="0" w:after="240"/>
        <w:ind w:hanging="0" w:left="0" w:right="0"/>
        <w:jc w:val="center"/>
        <w:rPr>
          <w:rFonts w:ascii="Arial" w:hAnsi="Arial" w:cs="Arial"/>
        </w:rPr>
      </w:pP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{{client.representativeRole}}</w:t>
      </w:r>
    </w:p>
    <w:p>
      <w:pPr>
        <w:pStyle w:val="Normal"/>
        <w:keepNext w:val="false"/>
        <w:widowControl/>
        <w:spacing w:before="0" w:after="120"/>
        <w:ind w:hanging="0" w:left="0" w:right="0"/>
        <w:jc w:val="center"/>
        <w:rPr>
          <w:rFonts w:ascii="Arial" w:hAnsi="Arial" w:cs="Arial"/>
          <w:b/>
          <w:lang w:val="fr-FR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{{client.representativeName}}</w:t>
      </w:r>
    </w:p>
    <w:p>
      <w:pPr>
        <w:pStyle w:val="Normal"/>
        <w:keepNext w:val="true"/>
        <w:widowControl/>
        <w:spacing w:before="240" w:after="120"/>
        <w:ind w:hanging="0"/>
        <w:jc w:val="center"/>
        <w:rPr>
          <w:rFonts w:ascii="Arial" w:hAnsi="Arial" w:cs="Arial"/>
          <w:b/>
          <w:lang w:val="it-CH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0"/>
          <w:szCs w:val="20"/>
          <w:lang w:val="ro-RO"/>
        </w:rPr>
        <w:t>PROCES-VERBAL DE LUARE DE CUNOȘTINȚĂ</w:t>
      </w:r>
    </w:p>
    <w:p>
      <w:pPr>
        <w:pStyle w:val="Normal"/>
        <w:keepNext w:val="true"/>
        <w:widowControl/>
        <w:spacing w:before="0" w:after="120"/>
        <w:ind w:hanging="0" w:right="0"/>
        <w:jc w:val="left"/>
        <w:rPr>
          <w:rStyle w:val="tpa1"/>
          <w:rFonts w:ascii="Arial" w:hAnsi="Arial" w:cs="Arial"/>
          <w:lang w:val="it-CH"/>
        </w:rPr>
      </w:pP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Prin semnătura din tabelul nominal de mai jos, fiecare persoană des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mnată confirmă că a luat cunoștință de prezenta decizie și se obligă să respecte întocmai obligațiile, atribuțiile și răspunderile ce reies din decizia {{cli</w:t>
      </w:r>
      <w:r>
        <w:rPr>
          <w:rStyle w:val="PageNumber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ent.legalName}}</w:t>
      </w:r>
      <w:r>
        <w:rPr>
          <w:rStyle w:val="tpa1"/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 xml:space="preserve"> nr. {{fire.deci</w:t>
      </w:r>
      <w:r>
        <w:rPr>
          <w:rFonts w:eastAsia="Arial" w:cs="Arial" w:ascii="Arial" w:hAnsi="Arial"/>
          <w:color w:val="auto"/>
          <w:spacing w:val="0"/>
          <w:w w:val="100"/>
          <w:sz w:val="20"/>
          <w:szCs w:val="20"/>
          <w:lang w:val="ro-RO"/>
        </w:rPr>
        <w:t>sionNumbers.waste}} din {{issueDate}}.</w:t>
      </w:r>
    </w:p>
    <w:tbl>
      <w:tblPr>
        <w:tblW w:w="5000" w:type="pct"/>
        <w:jc w:val="left"/>
        <w:tblInd w:w="0" w:type="dxa"/>
        <w:tblLayout w:type="fixed"/>
        <w:tblCellMar>
          <w:top w:w="17" w:type="dxa"/>
          <w:left w:w="108" w:type="dxa"/>
          <w:bottom w:w="17" w:type="dxa"/>
          <w:right w:w="108" w:type="dxa"/>
        </w:tblCellMar>
      </w:tblPr>
      <w:tblGrid>
        <w:gridCol w:w="621"/>
        <w:gridCol w:w="3458"/>
        <w:gridCol w:w="2076"/>
        <w:gridCol w:w="1297"/>
        <w:gridCol w:w="1903"/>
      </w:tblGrid>
      <w:tr>
        <w:trPr>
          <w:tblHeader w:val="true"/>
          <w:trHeight w:val="7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keepNext w:val="true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Nr. crt.</w:t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Numele și prenumele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Funcția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Data primirii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3F3F3" w:val="clear"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  <w:t>Semnătura de primire</w:t>
            </w:r>
          </w:p>
        </w:tc>
      </w:tr>
      <w:tr>
        <w:trPr>
          <w:trHeight w:val="29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{{#fire.designated}}{{name}}</w:t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{{jobTitle}}</w:t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  <w:t>{{issueDate}}{{/fire.designated}}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keepNext w:val="true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  <w:tr>
        <w:trPr>
          <w:trHeight w:val="290" w:hRule="atLeast"/>
        </w:trPr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snapToGrid w:val="false"/>
              <w:spacing w:before="0" w:after="0"/>
              <w:ind w:hanging="360" w:left="360" w:right="-108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Arial" w:cs="Arial" w:ascii="Arial" w:hAnsi="Arial"/>
                <w:b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3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2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2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spacing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napToGrid w:val="false"/>
              <w:spacing w:before="0" w:after="0"/>
              <w:rPr>
                <w:rFonts w:ascii="Arial" w:hAnsi="Arial" w:cs="Arial"/>
              </w:rPr>
            </w:pPr>
            <w:r>
              <w:rPr>
                <w:rFonts w:eastAsia="Arial" w:cs="Arial" w:ascii="Arial" w:hAnsi="Arial"/>
                <w:color w:val="auto"/>
                <w:spacing w:val="0"/>
                <w:w w:val="100"/>
                <w:sz w:val="20"/>
                <w:szCs w:val="20"/>
                <w:lang w:val="ro-RO"/>
              </w:rPr>
            </w:r>
          </w:p>
        </w:tc>
      </w:tr>
    </w:tbl>
    <w:p>
      <w:pPr>
        <w:pStyle w:val="Normal"/>
        <w:widowControl/>
        <w:spacing w:before="0" w:after="0"/>
        <w:ind w:hanging="0"/>
        <w:jc w:val="left"/>
        <w:rPr>
          <w:rFonts w:ascii="Arial" w:hAnsi="Arial" w:cs="Arial"/>
          <w:b/>
          <w:sz w:val="2"/>
          <w:lang w:val="pt-BR"/>
        </w:rPr>
      </w:pPr>
      <w:r>
        <w:rPr>
          <w:rFonts w:eastAsia="Arial" w:cs="Arial" w:ascii="Arial" w:hAnsi="Arial"/>
          <w:b/>
          <w:color w:val="auto"/>
          <w:spacing w:val="0"/>
          <w:w w:val="100"/>
          <w:sz w:val="2"/>
          <w:szCs w:val="20"/>
          <w:lang w:val="ro-RO"/>
        </w:rPr>
      </w:r>
    </w:p>
    <w:sectPr>
      <w:footerReference w:type="default" r:id="rId2"/>
      <w:type w:val="nextPage"/>
      <w:pgSz w:w="11906" w:h="16838"/>
      <w:pgMar w:left="1417" w:right="1134" w:gutter="0" w:header="0" w:top="1134" w:footer="680" w:bottom="11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Wingdings">
    <w:charset w:val="02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Helvetica-Condensed-R">
    <w:altName w:val="Arial Narrow"/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60" w:after="0"/>
      <w:ind w:hanging="0" w:left="0" w:right="0"/>
      <w:jc w:val="center"/>
      <w:rPr>
        <w:rFonts w:ascii="Arial" w:hAnsi="Arial" w:eastAsia="Arial" w:cs="Arial"/>
        <w:b w:val="false"/>
        <w:color w:val="7A7A7A"/>
        <w:spacing w:val="0"/>
        <w:w w:val="100"/>
        <w:sz w:val="15"/>
        <w:szCs w:val="15"/>
        <w:lang w:val="ro-RO"/>
      </w:rPr>
    </w:pPr>
    <w:r>
      <w:rPr>
        <w:rFonts w:eastAsia="Arial" w:cs="Arial" w:ascii="Arial" w:hAnsi="Arial"/>
        <w:b w:val="false"/>
        <w:color w:val="7A7A7A"/>
        <w:spacing w:val="0"/>
        <w:w w:val="100"/>
        <w:sz w:val="15"/>
        <w:szCs w:val="15"/>
        <w:lang w:val="ro-RO"/>
      </w:rPr>
      <w:t>{{#branding}}Document generat cu SSM Ușor · ssmusor.ro{{/branding}}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suff w:val="space"/>
      <w:lvlText w:val="Art. %1."/>
      <w:lvlJc w:val="left"/>
      <w:pPr>
        <w:tabs>
          <w:tab w:val="num" w:pos="0"/>
        </w:tabs>
        <w:ind w:left="0" w:hanging="0"/>
      </w:pPr>
      <w:rPr>
        <w:rFonts w:ascii="Arial" w:hAnsi="Arial"/>
        <w:b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zh-CN" w:bidi="ar-SA"/>
    </w:rPr>
  </w:style>
  <w:style w:type="paragraph" w:styleId="Heading1">
    <w:name w:val="heading 1"/>
    <w:basedOn w:val="Normal"/>
    <w:next w:val="Normal"/>
    <w:pPr>
      <w:keepNext w:val="true"/>
      <w:numPr>
        <w:ilvl w:val="0"/>
        <w:numId w:val="1"/>
      </w:numPr>
      <w:outlineLvl w:val="0"/>
    </w:pPr>
    <w:rPr>
      <w:b/>
      <w:sz w:val="24"/>
      <w:u w:val="single"/>
    </w:rPr>
  </w:style>
  <w:style w:type="paragraph" w:styleId="Heading2">
    <w:name w:val="heading 2"/>
    <w:basedOn w:val="Normal"/>
    <w:next w:val="Normal"/>
    <w:pPr>
      <w:keepNext w:val="true"/>
      <w:numPr>
        <w:ilvl w:val="1"/>
        <w:numId w:val="1"/>
      </w:numPr>
      <w:spacing w:lineRule="auto" w:line="360"/>
      <w:ind w:firstLine="1440" w:left="0" w:right="0"/>
      <w:jc w:val="right"/>
      <w:outlineLvl w:val="1"/>
    </w:pPr>
    <w:rPr>
      <w:sz w:val="28"/>
    </w:rPr>
  </w:style>
  <w:style w:type="paragraph" w:styleId="Heading3">
    <w:name w:val="heading 3"/>
    <w:basedOn w:val="Normal"/>
    <w:next w:val="Normal"/>
    <w:pPr>
      <w:keepNext w:val="true"/>
      <w:numPr>
        <w:ilvl w:val="2"/>
        <w:numId w:val="1"/>
      </w:numPr>
      <w:spacing w:lineRule="auto" w:line="360"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pPr>
      <w:keepNext w:val="true"/>
      <w:numPr>
        <w:ilvl w:val="3"/>
        <w:numId w:val="1"/>
      </w:numPr>
      <w:jc w:val="right"/>
      <w:outlineLvl w:val="3"/>
    </w:pPr>
    <w:rPr>
      <w:sz w:val="28"/>
      <w:szCs w:val="28"/>
    </w:rPr>
  </w:style>
  <w:style w:type="character" w:styleId="WW8Num2z0">
    <w:name w:val="WW8Num2z0"/>
    <w:rPr>
      <w:rFonts w:ascii="Symbol" w:hAnsi="Symbol" w:cs="Symbol"/>
    </w:rPr>
  </w:style>
  <w:style w:type="character" w:styleId="WW8Num2z1">
    <w:name w:val="WW8Num2z1"/>
    <w:rPr>
      <w:rFonts w:ascii="Courier New" w:hAnsi="Courier New" w:cs="Courier New"/>
    </w:rPr>
  </w:style>
  <w:style w:type="character" w:styleId="WW8Num2z2">
    <w:name w:val="WW8Num2z2"/>
    <w:rPr>
      <w:rFonts w:ascii="Wingdings" w:hAnsi="Wingdings" w:cs="Wingdings"/>
    </w:rPr>
  </w:style>
  <w:style w:type="character" w:styleId="WW8Num2z3">
    <w:name w:val="WW8Num2z3"/>
    <w:rPr>
      <w:rFonts w:ascii="Symbol" w:hAnsi="Symbol" w:cs="Symbol"/>
    </w:rPr>
  </w:style>
  <w:style w:type="character" w:styleId="WW8Num3z0">
    <w:name w:val="WW8Num3z0"/>
    <w:rPr>
      <w:b/>
    </w:rPr>
  </w:style>
  <w:style w:type="character" w:styleId="WW8Num4z0">
    <w:name w:val="WW8Num4z0"/>
    <w:rPr>
      <w:b/>
    </w:rPr>
  </w:style>
  <w:style w:type="character" w:styleId="WW8Num5z0">
    <w:name w:val="WW8Num5z0"/>
    <w:rPr/>
  </w:style>
  <w:style w:type="character" w:styleId="WW8Num7z0">
    <w:name w:val="WW8Num7z0"/>
    <w:rPr>
      <w:b/>
    </w:rPr>
  </w:style>
  <w:style w:type="character" w:styleId="WW8Num8z0">
    <w:name w:val="WW8Num8z0"/>
    <w:rPr>
      <w:b/>
    </w:rPr>
  </w:style>
  <w:style w:type="character" w:styleId="WW8Num8z1">
    <w:name w:val="WW8Num8z1"/>
    <w:rPr>
      <w:rFonts w:ascii="Courier New" w:hAnsi="Courier New" w:cs="Courier New"/>
    </w:rPr>
  </w:style>
  <w:style w:type="character" w:styleId="WW8Num8z2">
    <w:name w:val="WW8Num8z2"/>
    <w:rPr>
      <w:rFonts w:ascii="Wingdings" w:hAnsi="Wingdings" w:cs="Wingdings"/>
    </w:rPr>
  </w:style>
  <w:style w:type="character" w:styleId="WW8Num8z3">
    <w:name w:val="WW8Num8z3"/>
    <w:rPr>
      <w:rFonts w:ascii="Symbol" w:hAnsi="Symbol" w:cs="Symbol"/>
    </w:rPr>
  </w:style>
  <w:style w:type="character" w:styleId="WW8Num9z0">
    <w:name w:val="WW8Num9z0"/>
    <w:rPr>
      <w:b/>
    </w:rPr>
  </w:style>
  <w:style w:type="character" w:styleId="WW8Num10z0">
    <w:name w:val="WW8Num10z0"/>
    <w:rPr>
      <w:rFonts w:ascii="Arial" w:hAnsi="Arial" w:eastAsia="Times New Roman" w:cs="Arial"/>
    </w:rPr>
  </w:style>
  <w:style w:type="character" w:styleId="WW8Num10z1">
    <w:name w:val="WW8Num10z1"/>
    <w:rPr>
      <w:rFonts w:ascii="Courier New" w:hAnsi="Courier New" w:cs="Courier New"/>
    </w:rPr>
  </w:style>
  <w:style w:type="character" w:styleId="WW8Num10z2">
    <w:name w:val="WW8Num10z2"/>
    <w:rPr>
      <w:rFonts w:ascii="Wingdings" w:hAnsi="Wingdings" w:cs="Wingdings"/>
    </w:rPr>
  </w:style>
  <w:style w:type="character" w:styleId="WW8Num10z3">
    <w:name w:val="WW8Num10z3"/>
    <w:rPr>
      <w:rFonts w:ascii="Symbol" w:hAnsi="Symbol" w:cs="Symbol"/>
    </w:rPr>
  </w:style>
  <w:style w:type="character" w:styleId="WW8Num11z0">
    <w:name w:val="WW8Num11z0"/>
    <w:rPr>
      <w:b/>
    </w:rPr>
  </w:style>
  <w:style w:type="character" w:styleId="WW8Num12z0">
    <w:name w:val="WW8Num12z0"/>
    <w:rPr>
      <w:b/>
    </w:rPr>
  </w:style>
  <w:style w:type="character" w:styleId="WW8Num13z0">
    <w:name w:val="WW8Num13z0"/>
    <w:rPr>
      <w:rFonts w:ascii="Arial" w:hAnsi="Arial" w:eastAsia="Times New Roman" w:cs="Arial"/>
    </w:rPr>
  </w:style>
  <w:style w:type="character" w:styleId="WW8Num13z1">
    <w:name w:val="WW8Num13z1"/>
    <w:rPr>
      <w:rFonts w:ascii="Courier New" w:hAnsi="Courier New" w:cs="Courier New"/>
    </w:rPr>
  </w:style>
  <w:style w:type="character" w:styleId="WW8Num13z2">
    <w:name w:val="WW8Num13z2"/>
    <w:rPr>
      <w:rFonts w:ascii="Wingdings" w:hAnsi="Wingdings" w:cs="Wingdings"/>
    </w:rPr>
  </w:style>
  <w:style w:type="character" w:styleId="WW8Num13z3">
    <w:name w:val="WW8Num13z3"/>
    <w:rPr>
      <w:rFonts w:ascii="Symbol" w:hAnsi="Symbol" w:cs="Symbol"/>
    </w:rPr>
  </w:style>
  <w:style w:type="character" w:styleId="WW8Num14z0">
    <w:name w:val="WW8Num14z0"/>
    <w:rPr>
      <w:b/>
      <w:bCs/>
    </w:rPr>
  </w:style>
  <w:style w:type="character" w:styleId="WW8Num15z0">
    <w:name w:val="WW8Num15z0"/>
    <w:rPr>
      <w:b/>
    </w:rPr>
  </w:style>
  <w:style w:type="character" w:styleId="WW8Num16z0">
    <w:name w:val="WW8Num16z0"/>
    <w:rPr>
      <w:b/>
    </w:rPr>
  </w:style>
  <w:style w:type="character" w:styleId="WW8Num17z0">
    <w:name w:val="WW8Num17z0"/>
    <w:rPr>
      <w:rFonts w:ascii="Symbol" w:hAnsi="Symbol" w:cs="Symbol"/>
    </w:rPr>
  </w:style>
  <w:style w:type="character" w:styleId="WW8Num17z1">
    <w:name w:val="WW8Num17z1"/>
    <w:rPr>
      <w:rFonts w:ascii="Courier New" w:hAnsi="Courier New" w:cs="Courier New"/>
    </w:rPr>
  </w:style>
  <w:style w:type="character" w:styleId="WW8Num17z2">
    <w:name w:val="WW8Num17z2"/>
    <w:rPr>
      <w:rFonts w:ascii="Wingdings" w:hAnsi="Wingdings" w:cs="Wingdings"/>
    </w:rPr>
  </w:style>
  <w:style w:type="character" w:styleId="WW8Num17z3">
    <w:name w:val="WW8Num17z3"/>
    <w:rPr>
      <w:rFonts w:ascii="Symbol" w:hAnsi="Symbol" w:cs="Symbol"/>
    </w:rPr>
  </w:style>
  <w:style w:type="character" w:styleId="WW8Num18z0">
    <w:name w:val="WW8Num18z0"/>
    <w:rPr>
      <w:rFonts w:ascii="Symbol" w:hAnsi="Symbol" w:cs="Symbol"/>
    </w:rPr>
  </w:style>
  <w:style w:type="character" w:styleId="WW8Num18z1">
    <w:name w:val="WW8Num18z1"/>
    <w:rPr>
      <w:rFonts w:ascii="Courier New" w:hAnsi="Courier New" w:cs="Courier New"/>
    </w:rPr>
  </w:style>
  <w:style w:type="character" w:styleId="WW8Num18z2">
    <w:name w:val="WW8Num18z2"/>
    <w:rPr>
      <w:rFonts w:ascii="Wingdings" w:hAnsi="Wingdings" w:cs="Wingdings"/>
    </w:rPr>
  </w:style>
  <w:style w:type="character" w:styleId="WW8Num18z3">
    <w:name w:val="WW8Num18z3"/>
    <w:rPr>
      <w:rFonts w:ascii="Symbol" w:hAnsi="Symbol" w:cs="Symbol"/>
    </w:rPr>
  </w:style>
  <w:style w:type="character" w:styleId="WW8Num19z0">
    <w:name w:val="WW8Num19z0"/>
    <w:rPr/>
  </w:style>
  <w:style w:type="character" w:styleId="WW8Num20z0">
    <w:name w:val="WW8Num20z0"/>
    <w:rPr>
      <w:rFonts w:ascii="Symbol" w:hAnsi="Symbol" w:cs="Symbol"/>
    </w:rPr>
  </w:style>
  <w:style w:type="character" w:styleId="WW8Num20z1">
    <w:name w:val="WW8Num20z1"/>
    <w:rPr>
      <w:rFonts w:ascii="Courier New" w:hAnsi="Courier New" w:cs="Courier New"/>
    </w:rPr>
  </w:style>
  <w:style w:type="character" w:styleId="WW8Num20z2">
    <w:name w:val="WW8Num20z2"/>
    <w:rPr>
      <w:rFonts w:ascii="Wingdings" w:hAnsi="Wingdings" w:cs="Wingdings"/>
    </w:rPr>
  </w:style>
  <w:style w:type="character" w:styleId="WW8Num20z3">
    <w:name w:val="WW8Num20z3"/>
    <w:rPr>
      <w:rFonts w:ascii="Symbol" w:hAnsi="Symbol" w:cs="Symbol"/>
    </w:rPr>
  </w:style>
  <w:style w:type="character" w:styleId="WW8Num21z0">
    <w:name w:val="WW8Num21z0"/>
    <w:rPr>
      <w:b/>
    </w:rPr>
  </w:style>
  <w:style w:type="character" w:styleId="WW8Num22z0">
    <w:name w:val="WW8Num22z0"/>
    <w:rPr>
      <w:rFonts w:ascii="Wingdings" w:hAnsi="Wingdings" w:cs="Wingdings"/>
      <w:sz w:val="16"/>
    </w:rPr>
  </w:style>
  <w:style w:type="character" w:styleId="WW8Num22z1">
    <w:name w:val="WW8Num22z1"/>
    <w:rPr>
      <w:rFonts w:ascii="Courier New" w:hAnsi="Courier New" w:cs="Courier New"/>
    </w:rPr>
  </w:style>
  <w:style w:type="character" w:styleId="WW8Num22z2">
    <w:name w:val="WW8Num22z2"/>
    <w:rPr>
      <w:rFonts w:ascii="Wingdings" w:hAnsi="Wingdings" w:cs="Wingdings"/>
    </w:rPr>
  </w:style>
  <w:style w:type="character" w:styleId="WW8Num22z3">
    <w:name w:val="WW8Num22z3"/>
    <w:rPr>
      <w:rFonts w:ascii="Symbol" w:hAnsi="Symbol" w:cs="Symbol"/>
    </w:rPr>
  </w:style>
  <w:style w:type="character" w:styleId="WW8NumSt2z0">
    <w:name w:val="WW8NumSt2z0"/>
    <w:rPr>
      <w:rFonts w:ascii="Times New Roman" w:hAnsi="Times New Roman" w:cs="Times New Roman"/>
    </w:rPr>
  </w:style>
  <w:style w:type="character" w:styleId="WW8NumSt3z0">
    <w:name w:val="WW8NumSt3z0"/>
    <w:rPr>
      <w:rFonts w:ascii="Times New Roman" w:hAnsi="Times New Roman" w:cs="Times New Roman"/>
    </w:rPr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tpa1">
    <w:name w:val="tpa1"/>
    <w:basedOn w:val="DefaultParagraphFont"/>
    <w:rPr/>
  </w:style>
  <w:style w:type="character" w:styleId="HeaderChar">
    <w:name w:val="Header Char"/>
    <w:rPr>
      <w:lang w:bidi="ar-SA"/>
    </w:rPr>
  </w:style>
  <w:style w:type="character" w:styleId="tal1">
    <w:name w:val="tal1"/>
    <w:basedOn w:val="DefaultParagraphFont"/>
    <w:rPr/>
  </w:style>
  <w:style w:type="character" w:styleId="ArticleLabel">
    <w:name w:val="ArticleLabel"/>
    <w:rPr>
      <w:rFonts w:ascii="Arial" w:hAnsi="Arial"/>
      <w:b/>
      <w:sz w:val="20"/>
    </w:rPr>
  </w:style>
  <w:style w:type="character" w:styleId="FootnoteCharacters">
    <w:name w:val="Footnote Characters"/>
    <w:rPr/>
  </w:style>
  <w:style w:type="character" w:styleId="CaptionCharacters">
    <w:name w:val="Caption Characters"/>
    <w:rPr/>
  </w:style>
  <w:style w:type="character" w:styleId="DropCaps">
    <w:name w:val="Drop Caps"/>
    <w:rPr/>
  </w:style>
  <w:style w:type="character" w:styleId="NumberingSymbols">
    <w:name w:val="Numbering Symbols"/>
    <w:rPr/>
  </w:style>
  <w:style w:type="character" w:styleId="Bullets">
    <w:name w:val="Bullets"/>
    <w:rPr>
      <w:rFonts w:ascii="OpenSymbol" w:hAnsi="OpenSymbol" w:eastAsia="OpenSymbol" w:cs="OpenSymbol"/>
    </w:rPr>
  </w:style>
  <w:style w:type="character" w:styleId="Hyperlink">
    <w:name w:val="Hyperlink"/>
    <w:rPr>
      <w:u w:val="single"/>
    </w:rPr>
  </w:style>
  <w:style w:type="character" w:styleId="FollowedHyperlink">
    <w:name w:val="FollowedHyperlink"/>
    <w:rPr>
      <w:u w:val="single"/>
    </w:rPr>
  </w:style>
  <w:style w:type="character" w:styleId="Placeholder">
    <w:name w:val="Placeholder"/>
    <w:rPr>
      <w:smallCaps/>
      <w:u w:val="dotted"/>
    </w:rPr>
  </w:style>
  <w:style w:type="character" w:styleId="IndexLink">
    <w:name w:val="Index Link"/>
    <w:rPr/>
  </w:style>
  <w:style w:type="character" w:styleId="EndnoteCharacters">
    <w:name w:val="Endnote Characters"/>
    <w:rPr/>
  </w:style>
  <w:style w:type="character" w:styleId="LineNumber">
    <w:name w:val="line number"/>
    <w:rPr/>
  </w:style>
  <w:style w:type="character" w:styleId="MainIndexEntry">
    <w:name w:val="Main Index Entry"/>
    <w:rPr>
      <w:b/>
      <w:bCs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Rubies">
    <w:name w:val="Rubies"/>
    <w:rPr>
      <w:sz w:val="12"/>
      <w:szCs w:val="12"/>
      <w:u w:val="none"/>
      <w:em w:val="none"/>
    </w:rPr>
  </w:style>
  <w:style w:type="character" w:styleId="VerticalNumberingSymbols">
    <w:name w:val="Vertical Numbering Symbols"/>
    <w:rPr>
      <w:eastAsianLayout w:vert="true"/>
    </w:rPr>
  </w:style>
  <w:style w:type="character" w:styleId="Emphasis">
    <w:name w:val="Emphasis"/>
    <w:rPr>
      <w:i/>
      <w:iCs/>
    </w:rPr>
  </w:style>
  <w:style w:type="character" w:styleId="Quotation">
    <w:name w:val="Quotation"/>
    <w:rPr>
      <w:i/>
      <w:iCs/>
    </w:rPr>
  </w:style>
  <w:style w:type="character" w:styleId="Strong">
    <w:name w:val="Strong"/>
    <w:rPr>
      <w:b/>
      <w:bCs/>
    </w:rPr>
  </w:style>
  <w:style w:type="character" w:styleId="SourceText">
    <w:name w:val="Source Text"/>
    <w:rPr>
      <w:rFonts w:ascii="Liberation Mono" w:hAnsi="Liberation Mono" w:eastAsia="Arial" w:cs="Liberation Mono"/>
    </w:rPr>
  </w:style>
  <w:style w:type="character" w:styleId="Example">
    <w:name w:val="Example"/>
    <w:rPr>
      <w:rFonts w:ascii="Liberation Mono" w:hAnsi="Liberation Mono" w:eastAsia="Arial" w:cs="Liberation Mono"/>
    </w:rPr>
  </w:style>
  <w:style w:type="character" w:styleId="UserEntry">
    <w:name w:val="User Entry"/>
    <w:rPr>
      <w:rFonts w:ascii="Liberation Mono" w:hAnsi="Liberation Mono" w:eastAsia="Arial" w:cs="Liberation Mono"/>
    </w:rPr>
  </w:style>
  <w:style w:type="character" w:styleId="Variable">
    <w:name w:val="Variable"/>
    <w:rPr>
      <w:i/>
      <w:iCs/>
    </w:rPr>
  </w:style>
  <w:style w:type="character" w:styleId="Definition">
    <w:name w:val="Definition"/>
    <w:rPr/>
  </w:style>
  <w:style w:type="character" w:styleId="Teletype">
    <w:name w:val="Teletype"/>
    <w:rPr>
      <w:rFonts w:ascii="Liberation Mono" w:hAnsi="Liberation Mono" w:eastAsia="Arial" w:cs="Liberation Mono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Arial" w:hAnsi="Arial" w:eastAsia="Arial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BodyText2">
    <w:name w:val="Body Text 2"/>
    <w:basedOn w:val="Normal"/>
    <w:pPr>
      <w:jc w:val="both"/>
    </w:pPr>
    <w:rPr>
      <w:rFonts w:ascii="Helvetica-Condensed-R;Arial Narrow" w:hAnsi="Helvetica-Condensed-R;Arial Narrow" w:cs="Helvetica-Condensed-R;Arial Narrow"/>
      <w:sz w:val="24"/>
    </w:rPr>
  </w:style>
  <w:style w:type="paragraph" w:styleId="HeaderandFooter">
    <w:name w:val="Header and Footer"/>
    <w:basedOn w:val="Normal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HTMLPreformatted">
    <w:name w:val="HTML Preformatted"/>
    <w:basedOn w:val="Normal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</w:rPr>
  </w:style>
  <w:style w:type="paragraph" w:styleId="BodyTextIndent2">
    <w:name w:val="Body Text Indent 2"/>
    <w:basedOn w:val="Normal"/>
    <w:pPr>
      <w:spacing w:lineRule="auto" w:line="480" w:before="0" w:after="120"/>
      <w:ind w:hanging="0" w:left="360" w:right="0"/>
    </w:pPr>
    <w:rPr/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  <w:style w:type="numbering" w:styleId="WW8Num18">
    <w:name w:val="WW8Num18"/>
  </w:style>
  <w:style w:type="numbering" w:styleId="WW8Num19">
    <w:name w:val="WW8Num19"/>
  </w:style>
  <w:style w:type="numbering" w:styleId="WW8Num20">
    <w:name w:val="WW8Num20"/>
  </w:style>
  <w:style w:type="numbering" w:styleId="WW8Num21">
    <w:name w:val="WW8Num21"/>
  </w:style>
  <w:style w:type="numbering" w:styleId="WW8Num22">
    <w:name w:val="WW8Num22"/>
  </w:style>
  <w:style w:type="numbering" w:styleId="Articles">
    <w:name w:val="Articles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LibreOffice/26.8.0.3$Linux_AARCH64 LibreOffice_project/680$Build-3</Application>
  <AppVersion>15.0000</AppVersion>
  <Pages>2</Pages>
  <Words>389</Words>
  <Characters>2981</Characters>
  <CharactersWithSpaces>3310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2024-03-04T10:27:00Z</dcterms:created>
  <dc:creator/>
  <dc:description/>
  <dc:language>ro-RO</dc:language>
  <cp:lastModifiedBy/>
  <cp:lastPrinted>2024-03-01T13:51:00Z</cp:lastPrinted>
  <dcterms:modified xsi:type="dcterms:W3CDTF">2026-10-10T18:47:14Z</dcterms:modified>
  <cp:revision>6</cp:revision>
  <dc:subject/>
  <dc:title/>
</cp:coreProperties>
</file>