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{{#fire.workplaces}}</w:t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{{^first}}</w:t>
      </w:r>
    </w:p>
    <w:p>
      <w:r>
        <w:br w:type="page"/>
      </w:r>
    </w:p>
    <w:p>
      <w:pPr>
        <w:pStyle w:val="Normal"/>
        <w:keepNext w:val="false"/>
        <w:pageBreakBefore w:val="fals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{{/first}}</w:t>
      </w:r>
    </w:p>
    <w:p>
      <w:pPr>
        <w:pStyle w:val="Normal"/>
        <w:keepNext w:val="true"/>
        <w:pageBreakBefore w:val="false"/>
        <w:widowControl/>
        <w:bidi w:val="0"/>
        <w:spacing w:before="0" w:after="0"/>
        <w:ind w:hanging="0" w:left="0" w:righ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0"/>
          <w:szCs w:val="20"/>
          <w:lang w:val="ro-RO"/>
        </w:rPr>
        <w:t>{{client.legalName}}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ascii="Arial" w:hAnsi="Arial" w:eastAsia="Arial" w:cs="Arial"/>
          <w:b/>
          <w:i w:val="false"/>
          <w:color w:val="auto"/>
          <w:spacing w:val="0"/>
          <w:w w:val="100"/>
          <w:sz w:val="24"/>
          <w:szCs w:val="20"/>
          <w:lang w:val="ro-RO"/>
        </w:rPr>
      </w:pPr>
      <w:r>
        <w:rPr>
          <w:rFonts w:eastAsia="Arial" w:cs="Arial" w:ascii="Arial" w:hAnsi="Arial"/>
          <w:b/>
          <w:i w:val="false"/>
          <w:color w:val="auto"/>
          <w:spacing w:val="0"/>
          <w:w w:val="100"/>
          <w:sz w:val="24"/>
          <w:szCs w:val="20"/>
          <w:lang w:val="ro-RO"/>
        </w:rPr>
        <w:t>ORGANIZAREA APĂRĂRII ÎMPOTRIVA INCENDIILOR</w:t>
      </w:r>
    </w:p>
    <w:p>
      <w:pPr>
        <w:pStyle w:val="Normal"/>
        <w:keepNext w:val="false"/>
        <w:pageBreakBefore w:val="false"/>
        <w:widowControl/>
        <w:bidi w:val="0"/>
        <w:spacing w:before="0" w:after="240"/>
        <w:ind w:hanging="0" w:left="0"/>
        <w:jc w:val="center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Locul de muncă: {{name}} ({{activityRunOn}})</w:t>
      </w:r>
    </w:p>
    <w:p>
      <w:pPr>
        <w:pStyle w:val="Normal"/>
        <w:keepNext w:val="true"/>
        <w:pageBreakBefore w:val="false"/>
        <w:widowControl/>
        <w:bidi w:val="0"/>
        <w:spacing w:before="0" w:after="240"/>
        <w:ind w:hanging="0" w:left="0"/>
        <w:jc w:val="center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Adresa: {{address}}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806"/>
        <w:gridCol w:w="6549"/>
      </w:tblGrid>
      <w:tr>
        <w:trPr>
          <w:cantSplit/>
        </w:trPr>
        <w:tc>
          <w:tcPr>
            <w:tcW w:w="93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I. Prevenirea incendiilor</w:t>
            </w:r>
          </w:p>
        </w:tc>
      </w:tr>
      <w:tr>
        <w:trPr>
          <w:cantSplit/>
        </w:trPr>
        <w:tc>
          <w:tcPr>
            <w:tcW w:w="2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1. Materiale combustibile și inflamabile</w:t>
            </w:r>
          </w:p>
        </w:tc>
        <w:tc>
          <w:tcPr>
            <w:tcW w:w="6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{{combustibleMaterials}}</w:t>
            </w:r>
          </w:p>
        </w:tc>
      </w:tr>
      <w:tr>
        <w:trPr>
          <w:cantSplit/>
        </w:trPr>
        <w:tc>
          <w:tcPr>
            <w:tcW w:w="2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2. Surse de aprindere posibile</w:t>
            </w:r>
          </w:p>
        </w:tc>
        <w:tc>
          <w:tcPr>
            <w:tcW w:w="6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{{ignitionSources}}</w:t>
            </w:r>
          </w:p>
        </w:tc>
      </w:tr>
      <w:tr>
        <w:trPr>
          <w:cantSplit/>
        </w:trPr>
        <w:tc>
          <w:tcPr>
            <w:tcW w:w="2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3. Echipamente și mijloace de lucru</w:t>
            </w:r>
          </w:p>
        </w:tc>
        <w:tc>
          <w:tcPr>
            <w:tcW w:w="6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{{fireRiskEquipment}}</w:t>
            </w:r>
          </w:p>
        </w:tc>
      </w:tr>
      <w:tr>
        <w:trPr>
          <w:cantSplit/>
        </w:trPr>
        <w:tc>
          <w:tcPr>
            <w:tcW w:w="2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4. Măsuri generale</w:t>
            </w:r>
          </w:p>
        </w:tc>
        <w:tc>
          <w:tcPr>
            <w:tcW w:w="6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170" w:left="17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–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ab/>
              <w:t xml:space="preserve">lucrările cu foc deschis se execută numai pe bază de permis de lucru cu foc;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170" w:left="17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–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ab/>
              <w:t>fumatul {{#fire.smoking.forbiddenEverywhere}}este interzis în toate spațiile și pe întreaga incintă a unității{{/fire.smoking.forbiddenEverywhere}}{{#fire.smoking.designatedPlaces}}este permis numai în exteriorul clădirilor, în locurile amenajate și marcate „LOC PENTRU FUMAT”{{#fire.smoking.place}} ({{fire.smoking.place}}){{/fire.smoking.place}}{{/fire.smoking.designatedPlaces}}, conform Deciziei nr. {{fire.decisionNumbers.smoking}};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170" w:left="17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–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ab/>
              <w:t>deșeurile combustibile se colectează zilnic și se depozitează în locuri sigure;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170" w:left="17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–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ab/>
              <w:t>căile de acces și de evacuare se păstrează libere în permanență;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170" w:left="17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–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ab/>
              <w:t>tabloul electric și instalațiile se verifică la terminarea programului de lucru.</w:t>
            </w:r>
          </w:p>
        </w:tc>
      </w:tr>
      <w:tr>
        <w:trPr>
          <w:cantSplit/>
        </w:trPr>
        <w:tc>
          <w:tcPr>
            <w:tcW w:w="2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5. Măsuri specifice</w:t>
            </w:r>
          </w:p>
        </w:tc>
        <w:tc>
          <w:tcPr>
            <w:tcW w:w="6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{{specificMeasures}}{{^specificMeasures}}—{{/specificMeasures}}</w:t>
            </w:r>
          </w:p>
        </w:tc>
      </w:tr>
      <w:tr>
        <w:trPr>
          <w:cantSplit/>
        </w:trPr>
        <w:tc>
          <w:tcPr>
            <w:tcW w:w="935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II. Organizarea primei intervenții de stingere a incendiilor</w:t>
            </w:r>
          </w:p>
        </w:tc>
      </w:tr>
      <w:tr>
        <w:trPr>
          <w:cantSplit/>
        </w:trPr>
        <w:tc>
          <w:tcPr>
            <w:tcW w:w="2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1. Mijloace de alarmare/alertare</w:t>
            </w:r>
          </w:p>
        </w:tc>
        <w:tc>
          <w:tcPr>
            <w:tcW w:w="6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Telefon 112 – serviciul profesionist pentru situații de urgență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{{#alarmInstallations}}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{{kindLabel}}{{#description}} – {{description}}{{/description}}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{{/alarmInstallations}}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Conducătorul locului de muncă: {{#manager}}{{name}}, {{jobTitleRunOn}}{{/manager}}{{^manager}}conducătorul locului de muncă aflat la program{{/manager}}</w:t>
            </w:r>
          </w:p>
        </w:tc>
      </w:tr>
      <w:tr>
        <w:trPr>
          <w:cantSplit/>
        </w:trPr>
        <w:tc>
          <w:tcPr>
            <w:tcW w:w="2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2. Instalații și dispozitive de limitare și stingere a incendiilor</w:t>
            </w:r>
          </w:p>
        </w:tc>
        <w:tc>
          <w:tcPr>
            <w:tcW w:w="6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{{#extinguishingInstallations}}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{{kindLabel}}{{#description}} – {{description}}{{/description}}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{{/extinguishingInstallations}}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{{^extinguishingInstallations}}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Nu este cazul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 xml:space="preserve">{{/extinguishingInstallations}}</w:t>
            </w:r>
          </w:p>
        </w:tc>
      </w:tr>
      <w:tr>
        <w:trPr>
          <w:cantSplit/>
        </w:trPr>
        <w:tc>
          <w:tcPr>
            <w:tcW w:w="2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3. Mijloace de protecție a salariaților</w:t>
            </w:r>
          </w:p>
        </w:tc>
        <w:tc>
          <w:tcPr>
            <w:tcW w:w="6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Nu este cazul</w:t>
            </w:r>
          </w:p>
        </w:tc>
      </w:tr>
      <w:tr>
        <w:trPr>
          <w:cantSplit/>
        </w:trPr>
        <w:tc>
          <w:tcPr>
            <w:tcW w:w="2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4. Personalul care asigură prima intervenție</w:t>
            </w:r>
          </w:p>
        </w:tc>
        <w:tc>
          <w:tcPr>
            <w:tcW w:w="6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170" w:left="17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–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ab/>
              <w:t>stingătoare: {{firstInterventionNames}};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{{#hasInteriorHydrants}}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170" w:left="17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–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ab/>
              <w:t>hidranți interiori: {{firstInterventionNames}};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{{/hasInteriorHydrants}}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170" w:left="17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–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ab/>
              <w:t>tablou electric: {{interventionLeaderName}};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170" w:left="17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–</w:t>
            </w: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ab/>
              <w:t>declanșare/oprire instalații: {{interventionLeaderName}}.</w:t>
            </w:r>
          </w:p>
        </w:tc>
      </w:tr>
      <w:tr>
        <w:trPr>
          <w:cantSplit/>
        </w:trPr>
        <w:tc>
          <w:tcPr>
            <w:tcW w:w="280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5. Personalul care asigură evacuarea persoanelor și a bunurilor</w:t>
            </w:r>
          </w:p>
        </w:tc>
        <w:tc>
          <w:tcPr>
            <w:tcW w:w="65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Personalul aflat la program, coordonat de {{interventionLeaderName}}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Loc de adunare: {{assemblyPoint}}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{{#hasEmergencyLighting}}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Căile de evacuare au iluminat de siguranță.</w:t>
            </w:r>
          </w:p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{{/hasEmergencyLighting}}</w:t>
            </w:r>
          </w:p>
        </w:tc>
      </w:tr>
    </w:tbl>
    <w:p>
      <w:pPr>
        <w:pStyle w:val="Normal"/>
        <w:keepNext w:val="true"/>
        <w:widowControl/>
        <w:bidi w:val="0"/>
        <w:spacing w:before="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Întocmit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Heading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Aprobat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{{#manager}}{{name}}{{/manager}}{{^manager}}—{{/manager}}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{{fireSafetyTechnician.name}}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  <w:tcMar>
              <w:top w:w="220" w:type="dxa"/>
              <w:bottom w:w="220" w:type="dxa"/>
            </w:tcMar>
            <w:vAlign w:val="center"/>
          </w:tcPr>
          <w:p>
            <w:pPr>
              <w:pStyle w:val="TableContents"/>
              <w:keepNext w:val="tru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Conducătorul locului de muncă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20" w:type="dxa"/>
              <w:bottom w:w="220" w:type="dxa"/>
            </w:tcMar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Cadru tehnic PSI al {{provider.legalName}}</w:t>
            </w:r>
          </w:p>
        </w:tc>
      </w:tr>
      <w:tr>
        <w:trPr/>
        <w:tc>
          <w:tcPr>
            <w:tcW w:w="467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Semnătura:</w:t>
            </w:r>
          </w:p>
        </w:tc>
        <w:tc>
          <w:tcPr>
            <w:tcW w:w="46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keepNext w:val="false"/>
              <w:widowControl/>
              <w:bidi w:val="0"/>
              <w:spacing w:before="0" w:after="0"/>
              <w:ind w:hanging="0" w:left="0"/>
              <w:jc w:val="left"/>
              <w:rPr>
                <w:rFonts w:ascii="Arial" w:hAnsi="Arial" w:eastAsia="Arial" w:cs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Semnătura:</w:t>
            </w:r>
          </w:p>
        </w:tc>
      </w:tr>
    </w:tbl>
    <w:p>
      <w:pPr>
        <w:pStyle w:val="Normal"/>
        <w:keepNext w:val="false"/>
        <w:pageBreakBefore w:val="false"/>
        <w:widowControl/>
        <w:bidi w:val="0"/>
        <w:spacing w:before="120" w:after="12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0"/>
          <w:szCs w:val="20"/>
          <w:lang w:val="ro-RO"/>
        </w:rPr>
        <w:t>{{/fire.workplaces}}</w:t>
      </w:r>
    </w:p>
    <w:p>
      <w:pPr>
        <w:pStyle w:val="Normal"/>
        <w:keepNext w:val="false"/>
        <w:widowControl/>
        <w:bidi w:val="0"/>
        <w:spacing w:before="0" w:after="0"/>
        <w:ind w:hanging="0" w:left="0"/>
        <w:jc w:val="left"/>
        <w:rPr>
          <w:rFonts w:ascii="Arial" w:hAnsi="Arial" w:eastAsia="Arial" w:cs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pPr>
      <w:r>
        <w:rPr>
          <w:rFonts w:eastAsia="Arial" w:cs="Arial" w:ascii="Arial" w:hAnsi="Arial"/>
          <w:b w:val="false"/>
          <w:i w:val="false"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51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PageNumber">
    <w:name w:val="page number"/>
    <w:rPr/>
  </w:style>
  <w:style w:type="character" w:styleId="CaptionCharacters">
    <w:name w:val="Caption Characters"/>
    <w:qFormat/>
    <w:rPr/>
  </w:style>
  <w:style w:type="character" w:styleId="DropCaps">
    <w:name w:val="Drop Caps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qFormat/>
    <w:rPr>
      <w:smallCaps/>
      <w:u w:val="dotted"/>
    </w:rPr>
  </w:style>
  <w:style w:type="character" w:styleId="IndexLink">
    <w:name w:val="Index Link"/>
    <w:qFormat/>
    <w:rPr/>
  </w:style>
  <w:style w:type="character" w:styleId="EndnoteCharacters">
    <w:name w:val="Endnote Characters"/>
    <w:qFormat/>
    <w:rPr/>
  </w:style>
  <w:style w:type="character" w:styleId="LineNumber">
    <w:name w:val="line number"/>
    <w:rPr/>
  </w:style>
  <w:style w:type="character" w:styleId="MainIndexEntry">
    <w:name w:val="Main Index Entry"/>
    <w:qFormat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qFormat/>
    <w:rPr>
      <w:sz w:val="12"/>
      <w:szCs w:val="12"/>
      <w:u w:val="none"/>
      <w:em w:val="none"/>
    </w:rPr>
  </w:style>
  <w:style w:type="character" w:styleId="VerticalNumberingSymbols">
    <w:name w:val="Vertical Numbering Symbols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Quotation">
    <w:name w:val="Quotation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Arial" w:cs="Liberation Mono"/>
    </w:rPr>
  </w:style>
  <w:style w:type="character" w:styleId="Example">
    <w:name w:val="Example"/>
    <w:qFormat/>
    <w:rPr>
      <w:rFonts w:ascii="Liberation Mono" w:hAnsi="Liberation Mono" w:eastAsia="Arial" w:cs="Liberation Mono"/>
    </w:rPr>
  </w:style>
  <w:style w:type="character" w:styleId="UserEntry">
    <w:name w:val="User Entry"/>
    <w:qFormat/>
    <w:rPr>
      <w:rFonts w:ascii="Liberation Mono" w:hAnsi="Liberation Mono" w:eastAsia="Arial" w:cs="Liberation Mono"/>
    </w:rPr>
  </w:style>
  <w:style w:type="character" w:styleId="Variable">
    <w:name w:val="Variable"/>
    <w:qFormat/>
    <w:rPr>
      <w:i/>
      <w:iCs/>
    </w:rPr>
  </w:style>
  <w:style w:type="character" w:styleId="Definition">
    <w:name w:val="Definition"/>
    <w:qFormat/>
    <w:rPr/>
  </w:style>
  <w:style w:type="character" w:styleId="Teletype">
    <w:name w:val="Teletype"/>
    <w:qFormat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  <Pages>3</Pages>
  <Words>304</Words>
  <Characters>2856</Characters>
  <CharactersWithSpaces>3105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ro-RO</dc:language>
  <cp:lastModifiedBy/>
  <dcterms:modified xsi:type="dcterms:W3CDTF">2026-10-10T18:48:57Z</dcterms:modified>
  <cp:revision>1</cp:revision>
  <dc:subject/>
  <dc:title/>
</cp:coreProperties>
</file>