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DECIZIILE INTERNE</w:t>
      </w:r>
    </w:p>
    <w:p>
      <w:pPr>
        <w:pStyle w:val="Normal"/>
        <w:keepNext w:val="true"/>
        <w:bidi w:val="0"/>
        <w:spacing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la nivelul unității, în domeniul securității și sănătății în muncă, pentru</w:t>
      </w:r>
    </w:p>
    <w:p>
      <w:pPr>
        <w:pStyle w:val="Normal"/>
        <w:keepNext w:val="false"/>
        <w:bidi w:val="0"/>
        <w:spacing w:before="0" w:after="36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1. Efectuarea instruirilor în domeniul securității și sănătății în muncă la personalul angajat;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2. Persoanele care fac parte din echipa de identificare și evaluare a riscurilor de accidentare și îmbolnăvire profesională pentru locurile de muncă încadrate și care desfășoară aceste activități în cadrul orelor de program;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3. Aplicarea măsurilor de prim ajutor la personalul angajat;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4. Numirea lucrătorilor desemnați cu luarea măsurilor în caz de pericol grav și iminent;</w:t>
      </w:r>
    </w:p>
    <w:p>
      <w:pPr>
        <w:pStyle w:val="Normal"/>
        <w:keepNext w:val="false"/>
        <w:bidi w:val="0"/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{{#workersRepresentativeDecision}}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5. Desemnarea reprezentanților lucrătorilor cu răspunderi specifice în domeniul securității și sănătății în muncă;</w:t>
      </w:r>
    </w:p>
    <w:p>
      <w:pPr>
        <w:pStyle w:val="Normal"/>
        <w:keepNext w:val="false"/>
        <w:bidi w:val="0"/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{{/workersRepresentativeDecision}}</w:t>
      </w:r>
    </w:p>
    <w:p>
      <w:pPr>
        <w:pStyle w:val="Normal"/>
        <w:keepNext w:val="true"/>
        <w:bidi w:val="0"/>
        <w:spacing w:before="1440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>
          <w:cantSplit/>
        </w:trPr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</w:tbl>
    <w:p>
      <w:pPr>
        <w:pStyle w:val="Normal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2026-09-22T23:04:53Z</dcterms:modified>
  <cp:revision>1</cp:revision>
  <dc:subject/>
  <dc:title/>
</cp:coreProperties>
</file>