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0"/>
        <w:ind w:hanging="0"/>
        <w:jc w:val="center"/>
        <w:rPr>
          <w:rFonts w:ascii="Arial" w:hAnsi="Arial" w:cs="Arial"/>
          <w:b/>
          <w:sz w:val="20"/>
          <w:szCs w:val="20"/>
        </w:rPr>
      </w:pPr>
      <w:r>
        <w:rPr>
          <w:rFonts w:eastAsia="Arial" w:cs="Arial" w:ascii="Arial" w:hAnsi="Arial"/>
          <w:b/>
          <w:color w:val="auto"/>
          <w:spacing w:val="0"/>
          <w:w w:val="100"/>
          <w:sz w:val="24"/>
          <w:szCs w:val="20"/>
          <w:lang w:val="ro-RO"/>
        </w:rPr>
        <w:t>LISTA INTERNĂ CU NECESARUL DE DOTARE CU ECHIPAMENT INDIVIDUAL DE PROTECȚIE (E.I.P.) A LUCRĂTORILOR</w:t>
      </w:r>
    </w:p>
    <w:p>
      <w:pPr>
        <w:pStyle w:val="Normal"/>
        <w:widowControl/>
        <w:spacing w:before="0" w:after="240"/>
        <w:ind w:hanging="0"/>
        <w:jc w:val="center"/>
        <w:rPr>
          <w:rFonts w:ascii="Arial" w:hAnsi="Arial" w:cs="Arial"/>
          <w:b/>
          <w:color w:val="0000FF"/>
          <w:sz w:val="20"/>
          <w:szCs w:val="20"/>
        </w:rPr>
      </w:pPr>
      <w:r>
        <w:rPr>
          <w:rFonts w:eastAsia="Arial" w:cs="Arial" w:ascii="Arial" w:hAnsi="Arial"/>
          <w:b/>
          <w:color w:val="auto"/>
          <w:spacing w:val="0"/>
          <w:w w:val="100"/>
          <w:sz w:val="20"/>
          <w:szCs w:val="20"/>
          <w:lang w:val="ro-RO"/>
        </w:rPr>
        <w:t xml:space="preserve">DIN CADRUL </w:t>
      </w:r>
      <w:r>
        <w:rPr>
          <w:rFonts w:eastAsia="Arial" w:cs="Arial" w:ascii="Arial" w:hAnsi="Arial"/>
          <w:b/>
          <w:color w:val="auto"/>
          <w:spacing w:val="0"/>
          <w:w w:val="100"/>
          <w:sz w:val="20"/>
          <w:szCs w:val="20"/>
          <w:lang w:val="ro-RO"/>
        </w:rPr>
        <w:t>{{client.legalName}}</w:t>
      </w:r>
    </w:p>
    <w:tbl>
      <w:tblPr>
        <w:tblW w:w="5000" w:type="pct"/>
        <w:jc w:val="left"/>
        <w:tblInd w:w="55" w:type="dxa"/>
        <w:tblLayout w:type="fixed"/>
        <w:tblCellMar>
          <w:top w:w="55" w:type="dxa"/>
          <w:left w:w="55" w:type="dxa"/>
          <w:bottom w:w="55" w:type="dxa"/>
          <w:right w:w="55" w:type="dxa"/>
        </w:tblCellMar>
      </w:tblPr>
      <w:tblGrid>
        <w:gridCol w:w="7143"/>
        <w:gridCol w:w="7144"/>
      </w:tblGrid>
      <w:tr>
        <w:trPr>
          <w:cantSplit/>
        </w:trPr>
        <w:tc>
          <w:tcPr>
            <w:tcW w:w="7143"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7144"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și aprobat</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bl>
    <w:p>
      <w:pPr>
        <w:pStyle w:val="Normal"/>
        <w:widowControl/>
        <w:spacing w:before="0" w:after="120"/>
        <w:ind w:hanging="0" w:right="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Conform Legii 319/ 2006 – Legea securității și sănătății în muncă, </w:t>
      </w:r>
      <w:r>
        <w:rPr>
          <w:rFonts w:eastAsia="Arial" w:cs="Arial" w:ascii="Arial" w:hAnsi="Arial"/>
          <w:b/>
          <w:bCs/>
          <w:color w:val="auto"/>
          <w:spacing w:val="0"/>
          <w:w w:val="100"/>
          <w:sz w:val="20"/>
          <w:szCs w:val="20"/>
          <w:lang w:val="ro-RO"/>
        </w:rPr>
        <w:t>«</w:t>
      </w:r>
      <w:r>
        <w:rPr>
          <w:rFonts w:eastAsia="Arial" w:cs="Arial" w:ascii="Arial" w:hAnsi="Arial"/>
          <w:bCs/>
          <w:color w:val="auto"/>
          <w:spacing w:val="0"/>
          <w:w w:val="100"/>
          <w:sz w:val="20"/>
          <w:szCs w:val="20"/>
          <w:lang w:val="ro-RO"/>
        </w:rPr>
        <w:t xml:space="preserve"> Art. 12. alin. (1)</w:t>
      </w:r>
      <w:r>
        <w:rPr>
          <w:rFonts w:eastAsia="Arial" w:cs="Arial" w:ascii="Arial" w:hAnsi="Arial"/>
          <w:b/>
          <w:bCs/>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Angajatorul trebuie: </w:t>
      </w:r>
      <w:r>
        <w:rPr>
          <w:rFonts w:eastAsia="Arial" w:cs="Arial" w:ascii="Arial" w:hAnsi="Arial"/>
          <w:bCs/>
          <w:color w:val="auto"/>
          <w:spacing w:val="0"/>
          <w:w w:val="100"/>
          <w:sz w:val="20"/>
          <w:szCs w:val="20"/>
          <w:lang w:val="ro-RO"/>
        </w:rPr>
        <w:t>b)</w:t>
      </w:r>
      <w:r>
        <w:rPr>
          <w:rFonts w:eastAsia="Arial" w:cs="Arial" w:ascii="Arial" w:hAnsi="Arial"/>
          <w:b/>
          <w:bCs/>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să decidă asupra măsurilor de protecție care trebuie luate și, după caz, asupra echipamentului de protecție care trebuie utilizat; </w:t>
      </w:r>
      <w:r>
        <w:rPr>
          <w:rFonts w:eastAsia="Arial" w:cs="Arial" w:ascii="Arial" w:hAnsi="Arial"/>
          <w:b/>
          <w:bCs/>
          <w:color w:val="auto"/>
          <w:spacing w:val="0"/>
          <w:w w:val="100"/>
          <w:sz w:val="20"/>
          <w:szCs w:val="20"/>
          <w:lang w:val="ro-RO"/>
        </w:rPr>
        <w:t>»</w:t>
      </w:r>
    </w:p>
    <w:p>
      <w:pPr>
        <w:pStyle w:val="Normal"/>
        <w:widowControl/>
        <w:spacing w:before="0" w:after="120"/>
        <w:ind w:hanging="0" w:right="0"/>
        <w:jc w:val="left"/>
        <w:rPr>
          <w:rFonts w:ascii="Arial" w:hAnsi="Arial" w:cs="Arial"/>
          <w:b/>
          <w:bCs/>
          <w:sz w:val="20"/>
          <w:szCs w:val="20"/>
          <w:lang w:val="ro-RO"/>
        </w:rPr>
      </w:pPr>
      <w:r>
        <w:rPr>
          <w:rStyle w:val="ar1"/>
          <w:rFonts w:eastAsia="Arial" w:cs="Arial" w:ascii="Arial" w:hAnsi="Arial"/>
          <w:b w:val="false"/>
          <w:color w:val="auto"/>
          <w:spacing w:val="0"/>
          <w:w w:val="100"/>
          <w:sz w:val="20"/>
          <w:szCs w:val="20"/>
          <w:lang w:val="ro-RO"/>
        </w:rPr>
        <w:t>Pentru a aduce la îndeplinire cerințele legii 319/ 2006 și cerințele H.G. 1425/ 2006, Art. 15.</w:t>
      </w:r>
      <w:r>
        <w:rPr>
          <w:rStyle w:val="al1"/>
          <w:rFonts w:eastAsia="Arial" w:cs="Arial" w:ascii="Arial" w:hAnsi="Arial"/>
          <w:b w:val="false"/>
          <w:color w:val="auto"/>
          <w:spacing w:val="0"/>
          <w:w w:val="100"/>
          <w:sz w:val="20"/>
          <w:szCs w:val="20"/>
          <w:lang w:val="ro-RO"/>
        </w:rPr>
        <w:t xml:space="preserve"> alin, (1) </w:t>
      </w:r>
      <w:r>
        <w:rPr>
          <w:rFonts w:eastAsia="Arial" w:cs="Arial" w:ascii="Arial" w:hAnsi="Arial"/>
          <w:color w:val="auto"/>
          <w:spacing w:val="0"/>
          <w:w w:val="100"/>
          <w:sz w:val="20"/>
          <w:szCs w:val="20"/>
          <w:lang w:val="ro-RO"/>
        </w:rPr>
        <w:t>punctul</w:t>
      </w:r>
      <w:r>
        <w:rPr>
          <w:rFonts w:eastAsia="Arial" w:cs="Arial" w:ascii="Arial" w:hAnsi="Arial"/>
          <w:b/>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 xml:space="preserve">20: </w:t>
      </w:r>
      <w:r>
        <w:rPr>
          <w:rStyle w:val="tal1"/>
          <w:rFonts w:eastAsia="Arial" w:cs="Arial" w:ascii="Arial" w:hAnsi="Arial"/>
          <w:color w:val="auto"/>
          <w:spacing w:val="0"/>
          <w:w w:val="100"/>
          <w:sz w:val="20"/>
          <w:szCs w:val="20"/>
          <w:lang w:val="ro-RO"/>
        </w:rPr>
        <w:t>Activitățile de prevenire și protecție desfășurate prin modalitățile prevăzute la art. 14 în cadrul unității sunt următoarele:</w:t>
      </w:r>
      <w:bookmarkStart w:id="0" w:name="do|caIII|si2|ar15|al1|pt20"/>
      <w:r>
        <w:rPr>
          <w:rFonts w:eastAsia="Arial" w:cs="Arial" w:ascii="Arial" w:hAnsi="Arial"/>
          <w:b/>
          <w:color w:val="auto"/>
          <w:spacing w:val="0"/>
          <w:w w:val="100"/>
          <w:sz w:val="20"/>
          <w:szCs w:val="20"/>
          <w:lang w:val="ro-RO"/>
        </w:rPr>
        <w:t xml:space="preserve"> </w:t>
      </w:r>
      <w:bookmarkEnd w:id="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H.G. </w:t>
      </w:r>
      <w:r>
        <w:rPr>
          <w:rFonts w:eastAsia="Arial" w:cs="Arial" w:ascii="Arial" w:hAnsi="Arial"/>
          <w:b w:val="false"/>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keepNext w:val="true"/>
        <w:widowControl/>
        <w:spacing w:before="0" w:after="120"/>
        <w:ind w:hanging="0"/>
        <w:jc w:val="left"/>
        <w:rPr>
          <w:rStyle w:val="tal1"/>
          <w:rFonts w:ascii="Arial" w:hAnsi="Arial" w:cs="Arial"/>
          <w:sz w:val="20"/>
          <w:szCs w:val="20"/>
          <w:lang w:val="ro-RO"/>
        </w:rPr>
      </w:pPr>
      <w:r>
        <w:rPr>
          <w:rStyle w:val="tal1"/>
          <w:rFonts w:eastAsia="Arial" w:cs="Arial" w:ascii="Arial" w:hAnsi="Arial"/>
          <w:color w:val="auto"/>
          <w:spacing w:val="0"/>
          <w:w w:val="100"/>
          <w:sz w:val="20"/>
          <w:szCs w:val="20"/>
          <w:lang w:val="ro-RO"/>
        </w:rPr>
        <w:t>S-au luat în considerare următoarele posturi de lucru și activitățile desfășurate în cadrul {{cli</w:t>
      </w:r>
      <w:r>
        <w:rPr>
          <w:rStyle w:val="PageNumber"/>
          <w:rFonts w:eastAsia="Arial" w:cs="Arial" w:ascii="Arial" w:hAnsi="Arial"/>
          <w:color w:val="auto"/>
          <w:spacing w:val="0"/>
          <w:w w:val="100"/>
          <w:sz w:val="20"/>
          <w:szCs w:val="20"/>
          <w:lang w:val="ro-RO"/>
        </w:rPr>
        <w:t>ent.legalName}</w:t>
      </w:r>
      <w:r>
        <w:rPr>
          <w:rStyle w:val="tal1"/>
          <w:rFonts w:eastAsia="Arial" w:cs="Arial" w:ascii="Arial" w:hAnsi="Arial"/>
          <w:color w:val="auto"/>
          <w:spacing w:val="0"/>
          <w:w w:val="100"/>
          <w:sz w:val="20"/>
          <w:szCs w:val="20"/>
          <w:lang w:val="ro-RO"/>
        </w:rPr>
        <w:t>}:</w:t>
      </w:r>
    </w:p>
    <w:tbl>
      <w:tblPr>
        <w:tblW w:w="5000" w:type="pct"/>
        <w:jc w:val="left"/>
        <w:tblInd w:w="55" w:type="dxa"/>
        <w:tblLayout w:type="fixed"/>
        <w:tblCellMar>
          <w:top w:w="55" w:type="dxa"/>
          <w:left w:w="55" w:type="dxa"/>
          <w:bottom w:w="55" w:type="dxa"/>
          <w:right w:w="55" w:type="dxa"/>
        </w:tblCellMar>
      </w:tblPr>
      <w:tblGrid>
        <w:gridCol w:w="1071"/>
        <w:gridCol w:w="4286"/>
        <w:gridCol w:w="6072"/>
        <w:gridCol w:w="2858"/>
      </w:tblGrid>
      <w:tr>
        <w:trPr>
          <w:tblHeader w:val="true"/>
        </w:trPr>
        <w:tc>
          <w:tcPr>
            <w:tcW w:w="10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42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607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Activități desfășurate</w:t>
            </w:r>
          </w:p>
        </w:tc>
        <w:tc>
          <w:tcPr>
            <w:tcW w:w="2858"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Categorie de personal</w:t>
            </w:r>
          </w:p>
        </w:tc>
      </w:tr>
      <w:tr>
        <w:trPr/>
        <w:tc>
          <w:tcPr>
            <w:tcW w:w="107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4286"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6072"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{{activities}}</w:t>
            </w:r>
          </w:p>
        </w:tc>
        <w:tc>
          <w:tcPr>
            <w:tcW w:w="285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{{staffCategory}}{{/positions}}</w:t>
            </w:r>
          </w:p>
        </w:tc>
      </w:tr>
    </w:tbl>
    <w:p>
      <w:pPr>
        <w:pStyle w:val="Normal"/>
        <w:widowControl/>
        <w:spacing w:before="12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CERINȚE MINIME</w:t>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DE SECURITATE ȘI SĂNĂTATE PENTRU ACORDAREA ȘI UTILIZAREA DE CĂTRE LUCRĂTORI A E.I.P. LA LOCUL DE MUNCĂ</w:t>
      </w:r>
    </w:p>
    <w:p>
      <w:pPr>
        <w:pStyle w:val="Normal"/>
        <w:widowControl/>
        <w:numPr>
          <w:ilvl w:val="0"/>
          <w:numId w:val="30"/>
        </w:numPr>
        <w:tabs>
          <w:tab w:val="clear" w:pos="720"/>
          <w:tab w:val="left" w:pos="900" w:leader="none"/>
        </w:tabs>
        <w:spacing w:before="120" w:after="60"/>
        <w:jc w:val="left"/>
        <w:rPr>
          <w:rFonts w:ascii="Arial" w:hAnsi="Arial" w:cs="Arial"/>
          <w:sz w:val="20"/>
          <w:szCs w:val="20"/>
        </w:rPr>
      </w:pPr>
      <w:r>
        <w:rPr>
          <w:rFonts w:eastAsia="Arial" w:cs="Arial" w:ascii="Arial" w:hAnsi="Arial"/>
          <w:color w:val="auto"/>
          <w:spacing w:val="0"/>
          <w:w w:val="100"/>
          <w:sz w:val="20"/>
          <w:szCs w:val="20"/>
          <w:lang w:val="ro-RO"/>
        </w:rPr>
        <w:t>Hotărârea 1048/09.08.2006 stabilește cerințele minime referitoare la echipamentul individual de protecție utilizat de lucrători la locul de muncă.</w:t>
      </w:r>
    </w:p>
    <w:p>
      <w:pPr>
        <w:pStyle w:val="Normal"/>
        <w:widowControl/>
        <w:numPr>
          <w:ilvl w:val="0"/>
          <w:numId w:val="30"/>
        </w:numPr>
        <w:tabs>
          <w:tab w:val="clear" w:pos="720"/>
          <w:tab w:val="left" w:pos="90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Prevederile Legii securității și sănătății în muncă nr. 319/2006 se aplică în totalitate domeniului menționat la art. 1, fără a aduce atingere dispozițiilor mai restrictive și/sau specifice cuprinse în prezenta hotărâre.</w:t>
      </w:r>
    </w:p>
    <w:p>
      <w:pPr>
        <w:pStyle w:val="Normal"/>
        <w:widowControl/>
        <w:numPr>
          <w:ilvl w:val="0"/>
          <w:numId w:val="30"/>
        </w:numPr>
        <w:tabs>
          <w:tab w:val="clear" w:pos="720"/>
          <w:tab w:val="left" w:pos="90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Prin echipament individual de protecție se înțelege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widowControl/>
        <w:numPr>
          <w:ilvl w:val="0"/>
          <w:numId w:val="30"/>
        </w:numPr>
        <w:tabs>
          <w:tab w:val="clear" w:pos="720"/>
          <w:tab w:val="left" w:pos="900" w:leader="none"/>
        </w:tabs>
        <w:spacing w:before="120" w:after="60"/>
        <w:jc w:val="left"/>
        <w:rPr>
          <w:rFonts w:ascii="Arial" w:hAnsi="Arial" w:cs="Arial"/>
          <w:sz w:val="20"/>
          <w:szCs w:val="20"/>
        </w:rPr>
      </w:pPr>
      <w:r>
        <w:rPr>
          <w:rFonts w:eastAsia="Arial" w:cs="Arial" w:ascii="Arial" w:hAnsi="Arial"/>
          <w:color w:val="auto"/>
          <w:spacing w:val="0"/>
          <w:w w:val="100"/>
          <w:sz w:val="20"/>
          <w:szCs w:val="20"/>
          <w:lang w:val="ro-RO"/>
        </w:rPr>
        <w:t>Sunt excluse din definiția cuprinsă la Art. 3:</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îmbrăcămintea de lucru și uniformele obișnuite care nu sunt proiectate în mod special pentru a proteja securitatea și sănătatea lucrătorului;</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folosit de serviciile de urgență și salvare;</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individual de protecție purtat sau folosit de armata, poliție ori de alte instituții de ordine publică;</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individual de protecție pentru mijloace de transport rutier;</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sportiv;</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de autoapărare sau de descurajare;</w:t>
      </w:r>
    </w:p>
    <w:p>
      <w:pPr>
        <w:pStyle w:val="Normal"/>
        <w:widowControl/>
        <w:numPr>
          <w:ilvl w:val="0"/>
          <w:numId w:val="31"/>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dispozitivele purtabile pentru detectarea și semnalizarea riscurilor și factorilor nocivi.</w:t>
      </w:r>
    </w:p>
    <w:p>
      <w:pPr>
        <w:pStyle w:val="Normal"/>
        <w:widowControl/>
        <w:numPr>
          <w:ilvl w:val="0"/>
          <w:numId w:val="30"/>
        </w:numPr>
        <w:tabs>
          <w:tab w:val="clear" w:pos="720"/>
          <w:tab w:val="left" w:pos="90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Obligațiile angajatorilor</w:t>
      </w:r>
    </w:p>
    <w:p>
      <w:pPr>
        <w:pStyle w:val="Normal"/>
        <w:widowControl/>
        <w:numPr>
          <w:ilvl w:val="0"/>
          <w:numId w:val="30"/>
        </w:numPr>
        <w:tabs>
          <w:tab w:val="clear" w:pos="720"/>
          <w:tab w:val="left" w:pos="90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trebuie să respecte prevederile Hotărârii Guvernului nr. 115/2004 privind stabilirea cerințelor esențiale de securitate ale echipamentelor individuale de protecție și a condițiilor pentru introducerea lor pe piata, cu modificările ulterioare.</w:t>
      </w:r>
    </w:p>
    <w:p>
      <w:pPr>
        <w:pStyle w:val="Normal"/>
        <w:widowControl/>
        <w:spacing w:before="0" w:after="60"/>
        <w:ind w:hanging="0"/>
        <w:jc w:val="left"/>
        <w:rPr>
          <w:rFonts w:ascii="Arial" w:hAnsi="Arial" w:cs="Arial"/>
          <w:sz w:val="20"/>
          <w:szCs w:val="20"/>
        </w:rPr>
      </w:pPr>
      <w:r>
        <w:rPr>
          <w:rFonts w:eastAsia="Arial" w:cs="Arial" w:ascii="Arial" w:hAnsi="Arial"/>
          <w:color w:val="auto"/>
          <w:spacing w:val="0"/>
          <w:w w:val="100"/>
          <w:sz w:val="20"/>
          <w:szCs w:val="20"/>
          <w:lang w:val="ro-RO"/>
        </w:rPr>
        <w:t>(2) Orice echipament individual de protecție trebuie să îndeplinească următoarele condiții:</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fie corespunzător pentru riscurile implicate, fără să conducă el însuși la un risc mărit;</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corespundă condițiilor existente la locul de muncă;</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ia în considerare cerințele ergonomice și starea sănătății lucrătorului;</w:t>
      </w:r>
    </w:p>
    <w:p>
      <w:pPr>
        <w:pStyle w:val="Normal"/>
        <w:widowControl/>
        <w:numPr>
          <w:ilvl w:val="0"/>
          <w:numId w:val="2"/>
        </w:numPr>
        <w:spacing w:before="0" w:after="120"/>
        <w:ind w:right="0"/>
        <w:jc w:val="left"/>
        <w:rPr>
          <w:rFonts w:ascii="Arial" w:hAnsi="Arial" w:cs="Arial"/>
          <w:sz w:val="20"/>
          <w:szCs w:val="20"/>
        </w:rPr>
      </w:pPr>
      <w:r>
        <w:rPr>
          <w:rFonts w:eastAsia="Arial" w:cs="Arial" w:ascii="Arial" w:hAnsi="Arial"/>
          <w:color w:val="auto"/>
          <w:spacing w:val="0"/>
          <w:w w:val="100"/>
          <w:sz w:val="20"/>
          <w:szCs w:val="20"/>
          <w:lang w:val="ro-RO"/>
        </w:rPr>
        <w:t>să se potrivească în mod corect persoanei care îl poarta, după toate ajustările necesare.</w:t>
      </w:r>
    </w:p>
    <w:p>
      <w:pPr>
        <w:pStyle w:val="Normal"/>
        <w:widowControl/>
        <w:numPr>
          <w:ilvl w:val="0"/>
          <w:numId w:val="30"/>
        </w:numPr>
        <w:tabs>
          <w:tab w:val="clear" w:pos="720"/>
          <w:tab w:val="left" w:pos="90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În cazul în care prezenta unor riscuri multiple impune purtarea simultană a mai multor echipamente individuale de protecție, aceste echipamente trebuie să fie compatibile și să își păstreze eficacitatea în raport cu riscul/riscurile respectiv/respective.</w:t>
      </w:r>
    </w:p>
    <w:p>
      <w:pPr>
        <w:pStyle w:val="Normal"/>
        <w:widowControl/>
        <w:numPr>
          <w:ilvl w:val="0"/>
          <w:numId w:val="30"/>
        </w:numPr>
        <w:tabs>
          <w:tab w:val="clear" w:pos="720"/>
          <w:tab w:val="left" w:pos="900" w:leader="none"/>
        </w:tabs>
        <w:spacing w:before="120" w:after="60"/>
        <w:ind w:hanging="0" w:left="446" w:right="0"/>
        <w:jc w:val="left"/>
        <w:rPr>
          <w:rFonts w:ascii="Arial" w:hAnsi="Arial" w:cs="Arial"/>
          <w:sz w:val="20"/>
          <w:szCs w:val="20"/>
        </w:rPr>
      </w:pPr>
      <w:r>
        <w:rPr>
          <w:rFonts w:eastAsia="Arial" w:cs="Arial" w:ascii="Arial" w:hAnsi="Arial"/>
          <w:color w:val="auto"/>
          <w:spacing w:val="0"/>
          <w:w w:val="100"/>
          <w:sz w:val="20"/>
          <w:szCs w:val="20"/>
          <w:lang w:val="ro-RO"/>
        </w:rPr>
        <w:t>Condițiile de utilizare a echipamentului individual de protecție, în special durata purtării, sunt determinate în funcție de gravitatea riscului, frecvența expunerii la risc, caracteristicile postului de lucru al fiecărui lucrător și de performanta echipamentului individual de protecție.</w:t>
      </w:r>
    </w:p>
    <w:p>
      <w:pPr>
        <w:pStyle w:val="Normal"/>
        <w:widowControl/>
        <w:numPr>
          <w:ilvl w:val="0"/>
          <w:numId w:val="30"/>
        </w:numPr>
        <w:tabs>
          <w:tab w:val="clear" w:pos="720"/>
          <w:tab w:val="left" w:pos="900" w:leader="none"/>
        </w:tabs>
        <w:spacing w:before="120" w:after="60"/>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este, în principiu, destinat purtării de către o singură persoană.</w:t>
      </w:r>
    </w:p>
    <w:p>
      <w:pPr>
        <w:pStyle w:val="Normal"/>
        <w:widowControl/>
        <w:spacing w:before="0" w:after="40"/>
        <w:ind w:left="432" w:right="0"/>
        <w:jc w:val="left"/>
        <w:rPr>
          <w:rFonts w:ascii="Arial" w:hAnsi="Arial" w:cs="Arial"/>
          <w:sz w:val="20"/>
          <w:szCs w:val="20"/>
        </w:rPr>
      </w:pPr>
      <w:r>
        <w:rPr>
          <w:rFonts w:eastAsia="Arial" w:cs="Arial" w:ascii="Arial" w:hAnsi="Arial"/>
          <w:color w:val="auto"/>
          <w:spacing w:val="0"/>
          <w:w w:val="100"/>
          <w:sz w:val="20"/>
          <w:szCs w:val="20"/>
          <w:lang w:val="ro-RO"/>
        </w:rPr>
        <w:t>(2) Dacă împrejurările impun purtarea echipamentului individual de protecție de către mai multe persoane, se iau măsuri corespunzătoare pentru a se asigura ca aceasta utilizare nu creează diferiților utilizatori nicio problema de sănătate sau de igienă.</w:t>
      </w:r>
    </w:p>
    <w:p>
      <w:pPr>
        <w:pStyle w:val="Normal"/>
        <w:widowControl/>
        <w:numPr>
          <w:ilvl w:val="0"/>
          <w:numId w:val="30"/>
        </w:numPr>
        <w:tabs>
          <w:tab w:val="clear" w:pos="720"/>
          <w:tab w:val="left" w:pos="900" w:leader="none"/>
          <w:tab w:val="left" w:pos="1080" w:leader="none"/>
          <w:tab w:val="left" w:pos="1170" w:leader="none"/>
          <w:tab w:val="left" w:pos="126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În cadrul întreprinderii și/sau unității trebuie să se furnizeze și să fie disponibile informații adecvate privind fiecare echipament individual de protecție impus în conformitate cu art. 5 și 6.</w:t>
      </w:r>
    </w:p>
    <w:p>
      <w:pPr>
        <w:pStyle w:val="Normal"/>
        <w:widowControl/>
        <w:numPr>
          <w:ilvl w:val="0"/>
          <w:numId w:val="30"/>
        </w:numPr>
        <w:tabs>
          <w:tab w:val="clear" w:pos="720"/>
          <w:tab w:val="left" w:pos="900" w:leader="none"/>
          <w:tab w:val="left" w:pos="117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se distribuie gratuit de angajator, care asigură buna să funcționare și o stare de igiena satisfăcătoare prin intermediul întreținerii, reparării și înlocuirilor necesare.</w:t>
      </w:r>
    </w:p>
    <w:p>
      <w:pPr>
        <w:pStyle w:val="Normal"/>
        <w:widowControl/>
        <w:tabs>
          <w:tab w:val="clear" w:pos="720"/>
          <w:tab w:val="left" w:pos="900" w:leader="none"/>
          <w:tab w:val="left" w:pos="1350" w:leader="none"/>
        </w:tabs>
        <w:spacing w:before="0" w:after="40"/>
        <w:ind w:left="432" w:right="288"/>
        <w:jc w:val="left"/>
        <w:rPr>
          <w:rFonts w:ascii="Arial" w:hAnsi="Arial" w:cs="Arial"/>
          <w:sz w:val="20"/>
          <w:szCs w:val="20"/>
        </w:rPr>
      </w:pPr>
      <w:r>
        <w:rPr>
          <w:rFonts w:eastAsia="Arial" w:cs="Arial" w:ascii="Arial" w:hAnsi="Arial"/>
          <w:color w:val="auto"/>
          <w:spacing w:val="0"/>
          <w:w w:val="100"/>
          <w:sz w:val="20"/>
          <w:szCs w:val="20"/>
          <w:lang w:val="ro-RO"/>
        </w:rPr>
        <w:t>(2) Ministerul Muncii, Solidarității Sociale și Familiei poate stabili dispoziții pe baza cărora să se impună ca lucrătorul să contribuie la costul unui anumit echipament individual de protecție, în situațiile în care utilizarea echipamentului nu este exclusiv pentru locul de muncă.</w:t>
      </w:r>
    </w:p>
    <w:p>
      <w:pPr>
        <w:pStyle w:val="Normal"/>
        <w:widowControl/>
        <w:numPr>
          <w:ilvl w:val="0"/>
          <w:numId w:val="30"/>
        </w:numPr>
        <w:tabs>
          <w:tab w:val="clear" w:pos="720"/>
          <w:tab w:val="left" w:pos="900" w:leader="none"/>
          <w:tab w:val="left" w:pos="990" w:leader="none"/>
        </w:tabs>
        <w:spacing w:before="120" w:after="60"/>
        <w:jc w:val="left"/>
        <w:rPr>
          <w:rFonts w:ascii="Arial" w:hAnsi="Arial" w:cs="Arial"/>
          <w:sz w:val="20"/>
          <w:szCs w:val="20"/>
        </w:rPr>
      </w:pPr>
      <w:r>
        <w:rPr>
          <w:rFonts w:eastAsia="Arial" w:cs="Arial" w:ascii="Arial" w:hAnsi="Arial"/>
          <w:color w:val="auto"/>
          <w:spacing w:val="0"/>
          <w:w w:val="100"/>
          <w:sz w:val="20"/>
          <w:szCs w:val="20"/>
          <w:lang w:val="ro-RO"/>
        </w:rPr>
        <w:t>Angajatorul informează mai întâi lucrătorul despre riscurile împotriva cărora îl protejează purtarea echipamentului individual de protecție.</w:t>
      </w:r>
    </w:p>
    <w:p>
      <w:pPr>
        <w:pStyle w:val="Normal"/>
        <w:widowControl/>
        <w:numPr>
          <w:ilvl w:val="0"/>
          <w:numId w:val="30"/>
        </w:numPr>
        <w:tabs>
          <w:tab w:val="clear" w:pos="720"/>
          <w:tab w:val="left" w:pos="900" w:leader="none"/>
          <w:tab w:val="left" w:pos="1080" w:leader="none"/>
        </w:tabs>
        <w:spacing w:before="120" w:after="60"/>
        <w:jc w:val="left"/>
        <w:rPr>
          <w:rFonts w:ascii="Arial" w:hAnsi="Arial" w:cs="Arial"/>
          <w:sz w:val="20"/>
          <w:szCs w:val="20"/>
        </w:rPr>
      </w:pPr>
      <w:r>
        <w:rPr>
          <w:rFonts w:eastAsia="Arial" w:cs="Arial" w:ascii="Arial" w:hAnsi="Arial"/>
          <w:color w:val="auto"/>
          <w:spacing w:val="0"/>
          <w:w w:val="100"/>
          <w:sz w:val="20"/>
          <w:szCs w:val="20"/>
          <w:lang w:val="ro-RO"/>
        </w:rPr>
        <w:t>Angajatorul asigură instruirea lucrătorului și, dacă este cazul, organizează antrenamente pentru modul de purtare a echipamentului individual de protecție.</w:t>
      </w:r>
    </w:p>
    <w:p>
      <w:pPr>
        <w:pStyle w:val="Normal"/>
        <w:widowControl/>
        <w:numPr>
          <w:ilvl w:val="0"/>
          <w:numId w:val="30"/>
        </w:numPr>
        <w:tabs>
          <w:tab w:val="clear" w:pos="720"/>
          <w:tab w:val="left" w:pos="900" w:leader="none"/>
          <w:tab w:val="left" w:pos="1080" w:leader="none"/>
        </w:tabs>
        <w:spacing w:before="120" w:after="60"/>
        <w:ind w:hanging="0" w:left="446" w:right="288"/>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poate fi utilizat numai în scopurile specificate și în conformitate cu fișa de instrucțiuni, cu excepția împrejurărilor specifice și excepționale.</w:t>
      </w:r>
    </w:p>
    <w:p>
      <w:pPr>
        <w:pStyle w:val="Normal"/>
        <w:widowControl/>
        <w:spacing w:before="0" w:after="120"/>
        <w:ind w:hanging="0"/>
        <w:jc w:val="left"/>
        <w:rPr>
          <w:rFonts w:ascii="Arial" w:hAnsi="Arial" w:cs="Arial"/>
          <w:sz w:val="20"/>
          <w:szCs w:val="20"/>
        </w:rPr>
      </w:pPr>
      <w:r>
        <w:rPr>
          <w:rFonts w:eastAsia="Arial" w:cs="Arial" w:ascii="Arial" w:hAnsi="Arial"/>
          <w:color w:val="auto"/>
          <w:spacing w:val="0"/>
          <w:w w:val="100"/>
          <w:sz w:val="20"/>
          <w:szCs w:val="20"/>
          <w:lang w:val="ro-RO"/>
        </w:rPr>
        <w:t>(2) Instrucțiunile trebuie să fie pe înțelesul lucrătorilor.</w:t>
      </w:r>
    </w:p>
    <w:p>
      <w:pPr>
        <w:pStyle w:val="Normal"/>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Evaluarea echipamentului individual de protecție</w:t>
      </w:r>
    </w:p>
    <w:p>
      <w:pPr>
        <w:pStyle w:val="Normal"/>
        <w:widowControl/>
        <w:numPr>
          <w:ilvl w:val="0"/>
          <w:numId w:val="30"/>
        </w:numPr>
        <w:tabs>
          <w:tab w:val="clear" w:pos="720"/>
          <w:tab w:val="left" w:pos="900" w:leader="none"/>
          <w:tab w:val="left" w:pos="1080" w:leader="none"/>
        </w:tabs>
        <w:spacing w:before="120" w:after="60"/>
        <w:ind w:hanging="0" w:left="446" w:right="288"/>
        <w:jc w:val="left"/>
        <w:rPr>
          <w:rFonts w:ascii="Arial" w:hAnsi="Arial" w:cs="Arial"/>
          <w:sz w:val="20"/>
          <w:szCs w:val="20"/>
        </w:rPr>
      </w:pPr>
      <w:r>
        <w:rPr>
          <w:rFonts w:eastAsia="Arial" w:cs="Arial" w:ascii="Arial" w:hAnsi="Arial"/>
          <w:color w:val="auto"/>
          <w:spacing w:val="0"/>
          <w:w w:val="100"/>
          <w:sz w:val="20"/>
          <w:szCs w:val="20"/>
          <w:lang w:val="ro-RO"/>
        </w:rPr>
        <w:t>(1) Înainte de a alege echipamentul individual de protecție, angajatorul trebuie să evalueze dacă echipamentul individual de protecție pe care intenționează să îl folosească îndeplinește cerințele prevăzute la art. 6 și 7.</w:t>
      </w:r>
    </w:p>
    <w:p>
      <w:pPr>
        <w:pStyle w:val="Normal"/>
        <w:widowControl/>
        <w:spacing w:before="0" w:after="60"/>
        <w:ind w:hanging="0"/>
        <w:jc w:val="left"/>
        <w:rPr>
          <w:rFonts w:ascii="Arial" w:hAnsi="Arial" w:cs="Arial"/>
          <w:sz w:val="20"/>
          <w:szCs w:val="20"/>
        </w:rPr>
      </w:pPr>
      <w:r>
        <w:rPr>
          <w:rFonts w:eastAsia="Arial" w:cs="Arial" w:ascii="Arial" w:hAnsi="Arial"/>
          <w:color w:val="auto"/>
          <w:spacing w:val="0"/>
          <w:w w:val="100"/>
          <w:sz w:val="20"/>
          <w:szCs w:val="20"/>
          <w:lang w:val="ro-RO"/>
        </w:rPr>
        <w:t>(2) Aceasta evaluare cuprinde:</w:t>
      </w:r>
    </w:p>
    <w:p>
      <w:pPr>
        <w:pStyle w:val="Normal"/>
        <w:widowControl/>
        <w:numPr>
          <w:ilvl w:val="0"/>
          <w:numId w:val="2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analiza și evaluarea riscurilor care nu pot fi evitate prin alte mijloace;</w:t>
      </w:r>
    </w:p>
    <w:p>
      <w:pPr>
        <w:pStyle w:val="Normal"/>
        <w:widowControl/>
        <w:numPr>
          <w:ilvl w:val="0"/>
          <w:numId w:val="29"/>
        </w:numPr>
        <w:spacing w:before="0" w:after="40"/>
        <w:ind w:right="288"/>
        <w:jc w:val="left"/>
        <w:rPr>
          <w:rFonts w:ascii="Arial" w:hAnsi="Arial" w:cs="Arial"/>
          <w:sz w:val="20"/>
          <w:szCs w:val="20"/>
        </w:rPr>
      </w:pPr>
      <w:r>
        <w:rPr>
          <w:rFonts w:eastAsia="Arial" w:cs="Arial" w:ascii="Arial" w:hAnsi="Arial"/>
          <w:color w:val="auto"/>
          <w:spacing w:val="0"/>
          <w:w w:val="100"/>
          <w:sz w:val="20"/>
          <w:szCs w:val="20"/>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0"/>
          <w:numId w:val="29"/>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compararea caracteristicilor echipamentului individual de protecție disponibil cu caracteristicile prevăzute la lit. b).</w:t>
      </w:r>
    </w:p>
    <w:p>
      <w:pPr>
        <w:pStyle w:val="Normal"/>
        <w:widowControl/>
        <w:numPr>
          <w:ilvl w:val="0"/>
          <w:numId w:val="30"/>
        </w:numPr>
        <w:tabs>
          <w:tab w:val="clear" w:pos="720"/>
          <w:tab w:val="left" w:pos="900" w:leader="none"/>
          <w:tab w:val="left" w:pos="1080" w:leader="none"/>
        </w:tabs>
        <w:spacing w:before="120" w:after="60"/>
        <w:jc w:val="left"/>
        <w:rPr>
          <w:rFonts w:ascii="Arial" w:hAnsi="Arial" w:cs="Arial"/>
          <w:sz w:val="20"/>
          <w:szCs w:val="20"/>
        </w:rPr>
      </w:pPr>
      <w:r>
        <w:rPr>
          <w:rFonts w:eastAsia="Arial" w:cs="Arial" w:ascii="Arial" w:hAnsi="Arial"/>
          <w:color w:val="auto"/>
          <w:spacing w:val="0"/>
          <w:w w:val="100"/>
          <w:sz w:val="20"/>
          <w:szCs w:val="20"/>
          <w:lang w:val="ro-RO"/>
        </w:rPr>
        <w:t>Evaluarea prevăzută la art. 15 este revizuită în funcție de modificările aduse oricărui element al echipamentului individual de protecție.</w:t>
      </w:r>
    </w:p>
    <w:p>
      <w:pPr>
        <w:pStyle w:val="Normal"/>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Reguli de utilizare</w:t>
      </w:r>
    </w:p>
    <w:p>
      <w:pPr>
        <w:pStyle w:val="Normal"/>
        <w:widowControl/>
        <w:numPr>
          <w:ilvl w:val="0"/>
          <w:numId w:val="30"/>
        </w:numPr>
        <w:tabs>
          <w:tab w:val="clear" w:pos="720"/>
          <w:tab w:val="left" w:pos="900" w:leader="none"/>
          <w:tab w:val="left" w:pos="108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(1) Fără a aduce atingere prevederilor art. 6-16, Ministerul Muncii, Solidarității Sociale și Familiei stabilește reguli generale pentru utilizarea echipamentului individual de protecție și/sau reguli care reglementează cazurile și situațiile în care angajatorul trebuie să furnizeze echipamentul individual de protecție, luând în considerare reglementările tehnice romane care transpun legislația comunitară privind libera circulație a acestui echipament.</w:t>
      </w:r>
    </w:p>
    <w:p>
      <w:pPr>
        <w:pStyle w:val="Normal"/>
        <w:widowControl/>
        <w:spacing w:before="0" w:after="40"/>
        <w:ind w:left="432" w:right="288"/>
        <w:jc w:val="left"/>
        <w:rPr>
          <w:rFonts w:ascii="Arial" w:hAnsi="Arial" w:cs="Arial"/>
          <w:sz w:val="20"/>
          <w:szCs w:val="20"/>
        </w:rPr>
      </w:pPr>
      <w:r>
        <w:rPr>
          <w:rFonts w:eastAsia="Arial" w:cs="Arial" w:ascii="Arial" w:hAnsi="Arial"/>
          <w:color w:val="auto"/>
          <w:spacing w:val="0"/>
          <w:w w:val="100"/>
          <w:sz w:val="20"/>
          <w:szCs w:val="20"/>
          <w:lang w:val="ro-RO"/>
        </w:rPr>
        <w:t>(2) Aceste reguli indică, în special, împrejurările sau situațiile de risc în care este necesară utilizarea echipamentului individual de protecție, fără a aduce atingere priorității care trebuie să se acorde mijloacelor de protecție colectivă.</w:t>
      </w:r>
    </w:p>
    <w:p>
      <w:pPr>
        <w:pStyle w:val="Normal"/>
        <w:widowControl/>
        <w:spacing w:before="0" w:after="40"/>
        <w:ind w:left="432" w:right="288"/>
        <w:jc w:val="left"/>
        <w:rPr>
          <w:rFonts w:ascii="Arial" w:hAnsi="Arial" w:cs="Arial"/>
          <w:sz w:val="20"/>
          <w:szCs w:val="20"/>
        </w:rPr>
      </w:pPr>
      <w:r>
        <w:rPr>
          <w:rFonts w:eastAsia="Arial" w:cs="Arial" w:ascii="Arial" w:hAnsi="Arial"/>
          <w:color w:val="auto"/>
          <w:spacing w:val="0"/>
          <w:w w:val="100"/>
          <w:sz w:val="20"/>
          <w:szCs w:val="20"/>
          <w:lang w:val="ro-RO"/>
        </w:rPr>
        <w:t>(3) Anexele nr. 1-3 au un caracter orientativ, conțin informații utile pentru stabilirea acestor reguli.</w:t>
      </w:r>
    </w:p>
    <w:p>
      <w:pPr>
        <w:pStyle w:val="Normal"/>
        <w:widowControl/>
        <w:numPr>
          <w:ilvl w:val="0"/>
          <w:numId w:val="30"/>
        </w:numPr>
        <w:tabs>
          <w:tab w:val="clear" w:pos="720"/>
          <w:tab w:val="left" w:pos="900" w:leader="none"/>
          <w:tab w:val="left" w:pos="108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Atunci când Ministerul Muncii, Solidarității Sociale și Familiei adaptează regulile prevăzute la art. 17, acesta ia în considerare orice modificări semnificative ale riscului, mijloacelor de protecție colectivă și echipamentelor individuale de protecție, determinate de evoluțiile tehnologice.</w:t>
      </w:r>
    </w:p>
    <w:p>
      <w:pPr>
        <w:pStyle w:val="Normal"/>
        <w:widowControl/>
        <w:numPr>
          <w:ilvl w:val="0"/>
          <w:numId w:val="30"/>
        </w:numPr>
        <w:tabs>
          <w:tab w:val="clear" w:pos="720"/>
          <w:tab w:val="left" w:pos="900" w:leader="none"/>
          <w:tab w:val="left" w:pos="1080" w:leader="none"/>
        </w:tabs>
        <w:spacing w:before="120" w:after="60"/>
        <w:jc w:val="left"/>
        <w:rPr>
          <w:rFonts w:ascii="Arial" w:hAnsi="Arial" w:cs="Arial"/>
          <w:sz w:val="20"/>
          <w:szCs w:val="20"/>
        </w:rPr>
      </w:pPr>
      <w:r>
        <w:rPr>
          <w:rFonts w:eastAsia="Arial" w:cs="Arial" w:ascii="Arial" w:hAnsi="Arial"/>
          <w:color w:val="auto"/>
          <w:spacing w:val="0"/>
          <w:w w:val="100"/>
          <w:sz w:val="20"/>
          <w:szCs w:val="20"/>
          <w:lang w:val="ro-RO"/>
        </w:rPr>
        <w:t>Ministerul Muncii, Solidarității Sociale și Familiei consulta organizațiile angajatorilor și lucrătorilor cu privire la regulile prevăzute la art. 17 și 18.</w:t>
      </w:r>
    </w:p>
    <w:p>
      <w:pPr>
        <w:pStyle w:val="Normal"/>
        <w:widowControl/>
        <w:tabs>
          <w:tab w:val="clear" w:pos="720"/>
          <w:tab w:val="left" w:pos="6300" w:leader="none"/>
        </w:tabs>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Informarea, consultarea și participarea lucrătorilor</w:t>
      </w:r>
    </w:p>
    <w:p>
      <w:pPr>
        <w:pStyle w:val="Normal"/>
        <w:widowControl/>
        <w:spacing w:before="0" w:after="40"/>
        <w:ind w:left="432" w:right="288"/>
        <w:jc w:val="left"/>
        <w:rPr>
          <w:rFonts w:ascii="Arial" w:hAnsi="Arial" w:cs="Arial"/>
          <w:b/>
          <w:bCs/>
          <w:sz w:val="20"/>
          <w:szCs w:val="20"/>
        </w:rPr>
      </w:pPr>
      <w:r>
        <w:rPr>
          <w:rFonts w:eastAsia="Arial" w:cs="Arial" w:ascii="Arial" w:hAnsi="Arial"/>
          <w:b/>
          <w:bCs/>
          <w:color w:val="auto"/>
          <w:spacing w:val="0"/>
          <w:w w:val="100"/>
          <w:sz w:val="20"/>
          <w:szCs w:val="20"/>
          <w:lang w:val="ro-RO"/>
        </w:rPr>
        <w:t>Art. 20</w:t>
      </w:r>
      <w:r>
        <w:rPr>
          <w:rFonts w:eastAsia="Arial" w:cs="Arial" w:ascii="Arial" w:hAnsi="Arial"/>
          <w:color w:val="auto"/>
          <w:spacing w:val="0"/>
          <w:w w:val="100"/>
          <w:sz w:val="20"/>
          <w:szCs w:val="20"/>
          <w:lang w:val="ro-RO"/>
        </w:rPr>
        <w:t xml:space="preserve"> Fără a aduce atingere prevederilor art. 16 din Legea securității și sănătății în muncă nr. 319/2006, lucrătorii și/sau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spacing w:before="0" w:after="40"/>
        <w:ind w:left="432" w:right="432"/>
        <w:jc w:val="left"/>
        <w:rPr>
          <w:rFonts w:ascii="Arial" w:hAnsi="Arial" w:cs="Arial"/>
          <w:b/>
          <w:bCs/>
          <w:sz w:val="20"/>
          <w:szCs w:val="20"/>
        </w:rPr>
      </w:pPr>
      <w:r>
        <w:rPr>
          <w:rFonts w:eastAsia="Arial" w:cs="Arial" w:ascii="Arial" w:hAnsi="Arial"/>
          <w:b/>
          <w:bCs/>
          <w:color w:val="auto"/>
          <w:spacing w:val="0"/>
          <w:w w:val="100"/>
          <w:sz w:val="20"/>
          <w:szCs w:val="20"/>
          <w:lang w:val="ro-RO"/>
        </w:rPr>
        <w:t>Art. 21</w:t>
      </w:r>
      <w:r>
        <w:rPr>
          <w:rFonts w:eastAsia="Arial" w:cs="Arial" w:ascii="Arial" w:hAnsi="Arial"/>
          <w:color w:val="auto"/>
          <w:spacing w:val="0"/>
          <w:w w:val="100"/>
          <w:sz w:val="20"/>
          <w:szCs w:val="20"/>
          <w:lang w:val="ro-RO"/>
        </w:rPr>
        <w:t xml:space="preserve"> Consultarea și participarea lucrătorilor și/sau a reprezentanților acestora cu privire la problemele la care se face referire în acest document, inclusiv în anexele acestuia, se desfășoară în conformitate cu prevederile art. 18 din Legea nr. 319/2006.</w:t>
      </w:r>
    </w:p>
    <w:p>
      <w:pPr>
        <w:pStyle w:val="Normal"/>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1</w:t>
      </w:r>
    </w:p>
    <w:p>
      <w:pPr>
        <w:pStyle w:val="Normal"/>
        <w:widowControl/>
        <w:spacing w:before="0" w:after="60"/>
        <w:ind w:hanging="0"/>
        <w:jc w:val="left"/>
        <w:rPr>
          <w:rFonts w:ascii="Arial" w:hAnsi="Arial" w:cs="Arial"/>
          <w:b/>
          <w:bCs/>
          <w:sz w:val="20"/>
          <w:szCs w:val="20"/>
        </w:rPr>
      </w:pPr>
      <w:r>
        <w:rPr>
          <w:rFonts w:eastAsia="Arial" w:cs="Arial" w:ascii="Arial" w:hAnsi="Arial"/>
          <w:b/>
          <w:bCs/>
          <w:color w:val="auto"/>
          <w:spacing w:val="0"/>
          <w:w w:val="100"/>
          <w:sz w:val="20"/>
          <w:szCs w:val="20"/>
          <w:lang w:val="ro-RO"/>
        </w:rPr>
        <w:t>Riscuri care pot genera accidente de muncă și boli profesionale: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Căderi de la înălțime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Lovituri, tăieturi, impact, strivire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Înțepături, tăieturi, zgârieturi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Vibrații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Alunecare, cădere la același nivel</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Caldura, foc</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Frig</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Pulberi, fibre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Fum</w:t>
      </w:r>
    </w:p>
    <w:p>
      <w:pPr>
        <w:pStyle w:val="Normal"/>
        <w:widowControl/>
        <w:numPr>
          <w:ilvl w:val="0"/>
          <w:numId w:val="4"/>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Intemperii:</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Ceata</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Ploaie</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Vint</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Zapada</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Gheata (polei)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Împroșcare, stropire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Ciuperci generatoare de micoze</w:t>
      </w:r>
    </w:p>
    <w:p>
      <w:pPr>
        <w:pStyle w:val="Normal"/>
        <w:widowControl/>
        <w:numPr>
          <w:ilvl w:val="0"/>
          <w:numId w:val="4"/>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Antigeni biologici nemicrobieni</w:t>
      </w:r>
    </w:p>
    <w:p>
      <w:pPr>
        <w:pStyle w:val="Normal"/>
        <w:widowControl/>
        <w:tabs>
          <w:tab w:val="clear" w:pos="720"/>
          <w:tab w:val="left" w:pos="1845" w:leader="none"/>
        </w:tabs>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2</w:t>
      </w:r>
    </w:p>
    <w:p>
      <w:pPr>
        <w:pStyle w:val="Normal"/>
        <w:widowControl/>
        <w:spacing w:before="0" w:after="60"/>
        <w:ind w:hanging="0"/>
        <w:jc w:val="left"/>
        <w:rPr>
          <w:rFonts w:ascii="Arial Black" w:hAnsi="Arial Black" w:cs="Arial"/>
          <w:b/>
          <w:bCs/>
          <w:sz w:val="20"/>
          <w:szCs w:val="20"/>
        </w:rPr>
      </w:pPr>
      <w:r>
        <w:rPr>
          <w:rFonts w:eastAsia="Arial" w:cs="Arial" w:ascii="Arial" w:hAnsi="Arial"/>
          <w:b/>
          <w:bCs/>
          <w:color w:val="auto"/>
          <w:spacing w:val="0"/>
          <w:w w:val="100"/>
          <w:sz w:val="20"/>
          <w:szCs w:val="20"/>
          <w:lang w:val="ro-RO"/>
        </w:rPr>
        <w:t>Lista orientativă și neexhaustivă a E.I.P.</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capului:</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căști de protecție pentru utilizare în industrie (mine, șantiere de lucrări publice, alte ramuri industriale);</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acoperământ ușor pentru protecția scalpului (caschete, bonete, plase de par, cu sau fără cozoroc);</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acoperământ pentru cap (bonete, caschete, pălării etc. din material textil, material textil tratat etc.).</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împotriva zgomotului:</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interne și alte dispozitive similare;</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căști antifonice (care acoperă tot capul);</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externe care pot fi montate pe căști de protecție industriale;</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externe cu receptor de joasă frecvența incorporat;</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cu comunicare audio.</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ochilor și a feței:</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ochelari cu brațe;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ochelari-masca;</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ochelari-masca împotriva radiațiilor X, ochelari-masca împotriva radiațiilor laser, ochelari-masca împotriva radiațiilor ultraviolete, infraroșii, vizibile;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ecrane faciale (viziere);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măști și căști pentru sudura cu arc (măști de mana, măști cu fixare pe cap sau măști care pot fi montate pe căști de protecție).</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respiratorie:</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aparate filtrante împotriva pulberilor, gazelor și pulberilor radioactive;</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aparate de protecție respiratorie izolante cu aducție de aer;</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aparate de protecție respiratorie cu masca de sudura detașabilă;</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mâinii și bratului:</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care asigură protecție:</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împotriva agresiunilor mecanice (înțepături, tăieturi, vibrații etc.);</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împotriva substanțelor chimice;</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pentru electricieni și împotriva căldurii;</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cu un deget;</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degetare;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mânecuțe;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manseta de protecție a încheieturii mâinii pentru munci grele;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mitene (mănuși fără degete);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de protecție.</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picioarelor și a gambelor:</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pantofi, bocanci, cizme semiînalte și cizme de securitate;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la care se pot scoate rapid șireturile sau cârligele;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cu bombeu suplimentar de protecție;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și supraîncălțări cu tălpi rezistente de căldură;</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rezistente la căldură;</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termoizolante;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împotriva vibrațiilor;</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antistatice;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electroizolante;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cizme pentru lucrătorii cu ferăstraie cu lanț;</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saboți;</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genunchiere;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glezniere detașabile;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ghetre;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tălpi detașabile (rezistente la căldură, perforare sau transpirație);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crampoane detașabile pentru gheața, zăpada sau podele alunecoase.</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pielii:</w:t>
      </w:r>
    </w:p>
    <w:p>
      <w:pPr>
        <w:pStyle w:val="Normal"/>
        <w:widowControl/>
        <w:numPr>
          <w:ilvl w:val="0"/>
          <w:numId w:val="2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creme de protecție/unguente.</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trunchiului și a abdomenului:</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jachete și șorturi de protecție împotriva agresiunilor mecanice (înțepare, tăiere, stropi de metal topit etc.);</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jachete și șorturi de protecție împotriva substanțelor chimice;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cu sistem de încălzire;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de salvare;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șorturi de protecție împotriva radiațiilor X;</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centuri lomboabdominale.</w:t>
      </w:r>
    </w:p>
    <w:p>
      <w:pPr>
        <w:pStyle w:val="Normal"/>
        <w:widowControl/>
        <w:numPr>
          <w:ilvl w:val="0"/>
          <w:numId w:val="2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Protecția întregului corp</w:t>
      </w:r>
    </w:p>
    <w:p>
      <w:pPr>
        <w:pStyle w:val="Normal"/>
        <w:widowControl/>
        <w:numPr>
          <w:ilvl w:val="0"/>
          <w:numId w:val="15"/>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Echipament proiectat pentru a preveni căderile: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 de prevenire a căderilor (echipament complet cu toate accesoriile necesare);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 de frânare cu absorbire a energiei cinetice (echipament complet cu toate accesoriile necesare);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dispozitive de susținere a corpului (centuri de securitate).</w:t>
      </w:r>
    </w:p>
    <w:p>
      <w:pPr>
        <w:pStyle w:val="Normal"/>
        <w:widowControl/>
        <w:numPr>
          <w:ilvl w:val="0"/>
          <w:numId w:val="15"/>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Îmbrăcăminte de protecție: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pentru lucru "de securitate" (două piese și combinezoane);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agresiunilor mecanice (înțepare, tăiere etc.);</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substanțelor chimice;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proiecțiilor de metal topit și a radiațiilor infraroșii;</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rezistența la căldură;</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termoizolantă;</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contaminării radioactive;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pulberilor;</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gazelor;</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și accesorii (banderole, mănuși etc.) de semnalizare fluorescente, reflectorizante;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paturi de protecție.</w:t>
      </w:r>
    </w:p>
    <w:p>
      <w:pPr>
        <w:pStyle w:val="Normal"/>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3</w:t>
      </w:r>
    </w:p>
    <w:p>
      <w:pPr>
        <w:pStyle w:val="Normal"/>
        <w:widowControl/>
        <w:spacing w:before="0" w:after="60"/>
        <w:ind w:hanging="0"/>
        <w:jc w:val="left"/>
        <w:rPr>
          <w:rFonts w:ascii="Arial Black" w:hAnsi="Arial Black" w:cs="Arial"/>
          <w:b/>
          <w:bCs/>
          <w:sz w:val="20"/>
          <w:szCs w:val="20"/>
        </w:rPr>
      </w:pPr>
      <w:r>
        <w:rPr>
          <w:rFonts w:eastAsia="Arial" w:cs="Arial" w:ascii="Arial" w:hAnsi="Arial"/>
          <w:b/>
          <w:bCs/>
          <w:color w:val="auto"/>
          <w:spacing w:val="0"/>
          <w:w w:val="100"/>
          <w:sz w:val="20"/>
          <w:szCs w:val="20"/>
          <w:lang w:val="ro-RO"/>
        </w:rPr>
        <w:t>Lista orientativă și neexhaustivă a activităților și sectoarelor de activitate care pot necesita utilizarea de echipament individual de protecție</w:t>
      </w:r>
    </w:p>
    <w:p>
      <w:pPr>
        <w:pStyle w:val="Normal"/>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capului (protecția craniului)</w:t>
      </w:r>
    </w:p>
    <w:p>
      <w:pPr>
        <w:pStyle w:val="Normal"/>
        <w:widowControl/>
        <w:numPr>
          <w:ilvl w:val="0"/>
          <w:numId w:val="23"/>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Căști de protecție:</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în special activitate pe, sub sau în apropierea schelelor și locurilor de muncă la înălțime, la operații de montare și demontare a cofrajelor, de asamblare și instalare, activitate desfășurată pe schele și de demolări;</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poduri metalice, construcții metalice înalte, stâlpi, turnuri, structuri hidraulice de metal, furnale, oțelării și laminoare, containere mari, conducte mari, cazane și centrale electrice;</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fose, șanțuri, puțuri și galerii;</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terasamente și lucrări în piatră;</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unelte de împușcat bolțuri;</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vecinătatea lifturilor, dispozitivelor de ridicare, macaralelor și a transportoarelor;</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la cuptoare industriale, containere, mașini, silozuri, buncăre și conducte;</w:t>
      </w:r>
    </w:p>
    <w:p>
      <w:pPr>
        <w:pStyle w:val="Normal"/>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picioarelor</w:t>
      </w:r>
    </w:p>
    <w:p>
      <w:pPr>
        <w:pStyle w:val="Normal"/>
        <w:widowControl/>
        <w:numPr>
          <w:ilvl w:val="0"/>
          <w:numId w:val="12"/>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cu talpa antiperforatie: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civile și rutiere;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schele;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demolare;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în beton și plăci prefabricate, care presupun montarea și demontarea cofrajelor;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șantiere și în spații de depozitare;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acoperișuri.</w:t>
      </w:r>
    </w:p>
    <w:p>
      <w:pPr>
        <w:pStyle w:val="Normal"/>
        <w:widowControl/>
        <w:numPr>
          <w:ilvl w:val="0"/>
          <w:numId w:val="13"/>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fără talpa antiperforatie: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poduri metalice, construcții metalice înalte, stâlpi, turnuri, structuri hidraulice de metal, furnale, oțelării și laminoare, containere mari, conducte mari, cazane și centrale electrice;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construcția de cuptoare, instalații de încălzire și ventilare și lucrări de asamblare de metale;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transformare și întreținere;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cariere și în exploatări de suprafață și halde;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extracția și prelucrarea pietrei;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manipulare a formelor în industria ceramicii;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turnare în industria produselor ceramice și a materialelor de construcții;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transport și depozitare;</w:t>
      </w:r>
    </w:p>
    <w:p>
      <w:pPr>
        <w:pStyle w:val="Normal"/>
        <w:widowControl/>
        <w:numPr>
          <w:ilvl w:val="0"/>
          <w:numId w:val="1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cu toc sau talpa ortopedica și inserție antiperforatie:</w:t>
      </w:r>
    </w:p>
    <w:p>
      <w:pPr>
        <w:pStyle w:val="Normal"/>
        <w:widowControl/>
        <w:numPr>
          <w:ilvl w:val="2"/>
          <w:numId w:val="1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acoperișuri.</w:t>
      </w:r>
    </w:p>
    <w:p>
      <w:pPr>
        <w:pStyle w:val="Normal"/>
        <w:widowControl/>
        <w:numPr>
          <w:ilvl w:val="0"/>
          <w:numId w:val="1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cu tălpi termoizolante:</w:t>
      </w:r>
    </w:p>
    <w:p>
      <w:pPr>
        <w:pStyle w:val="Normal"/>
        <w:widowControl/>
        <w:numPr>
          <w:ilvl w:val="2"/>
          <w:numId w:val="1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și pe materiale foarte fierbinți sau foarte reci.</w:t>
      </w:r>
    </w:p>
    <w:p>
      <w:pPr>
        <w:pStyle w:val="Normal"/>
        <w:widowControl/>
        <w:numPr>
          <w:ilvl w:val="0"/>
          <w:numId w:val="1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care se poate dezechipa ușor: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acolo unde există riscul penetrării de substanțe incandescente.</w:t>
      </w:r>
    </w:p>
    <w:p>
      <w:pPr>
        <w:pStyle w:val="Normal"/>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ochilor sau a feței</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Ochelari de protecție, viziere și ecrane faciale: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 polizare și debitare;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găurire și gravare;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tăiere și prelucrare a pietrei;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unelte de împușcat bolțuri;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utilizarea de mașini a căror funcționare se bazează pe îndepărtarea spanului în cazul prelucrării de materiale care produc span;</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pulverizarea de substanțe abrazive;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soluții acide și alcaline, dezinfectanți și produse de curățare corozive;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utilizarea de dispozitive cu jet lichid;</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și în apropierea materialelor incandescente;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căldura radianta;</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laser.</w:t>
      </w:r>
    </w:p>
    <w:p>
      <w:pPr>
        <w:pStyle w:val="Normal"/>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respiratorie</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Semimăști/Aparate de protecție respiratorie: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containere, spații înguste și cuptoare industriale alimentate cu gaz, în cazul în care poate există riscul intoxicării cu gaz sau cantitatea de oxigen este insuficienta;</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vopsirea prin pulverizare fără ventilație corespunzătoare;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puțuri, canale și alte spații subterane ale sistemului de canalizare;</w:t>
      </w:r>
    </w:p>
    <w:p>
      <w:pPr>
        <w:pStyle w:val="Normal"/>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auzului</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Antifoane: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la prese de metale;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dispozitive pneumatice;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industria lemnului și textilă.</w:t>
      </w:r>
    </w:p>
    <w:p>
      <w:pPr>
        <w:pStyle w:val="Normal"/>
        <w:widowControl/>
        <w:numPr>
          <w:ilvl w:val="0"/>
          <w:numId w:val="16"/>
        </w:numPr>
        <w:spacing w:before="0" w:after="120"/>
        <w:jc w:val="left"/>
        <w:rPr>
          <w:rFonts w:ascii="Arial" w:hAnsi="Arial" w:cs="Arial"/>
          <w:sz w:val="20"/>
          <w:szCs w:val="20"/>
        </w:rPr>
      </w:pPr>
      <w:r>
        <w:rPr>
          <w:rFonts w:eastAsia="Arial" w:cs="Arial" w:ascii="Arial" w:hAnsi="Arial"/>
          <w:b/>
          <w:bCs/>
          <w:color w:val="auto"/>
          <w:spacing w:val="0"/>
          <w:w w:val="100"/>
          <w:sz w:val="20"/>
          <w:szCs w:val="20"/>
          <w:lang w:val="ro-RO"/>
        </w:rPr>
        <w:t>Protecția corpului, bratelor și mâinilor</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acizi și soluții caustice, dezinfectanți și substanțe de curățare corozive;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sau în apropierea materialelor fierbinți și acolo unde se simt efectele căldurii;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sablare;</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 greu inflamabilă: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sudura în spații înguste.</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Șorturi rezistente la perforație: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cuțite de mana care implică îndreptarea cuțitului spre corp.</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Șorturi din piele: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Mănuși: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manipularea de obiecte cu muchii ascuțite, dar nu la utilizarea mașinilor care prezintă riscul ca manusa să fie prinsă;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neprotejate cu acizi și soluții caustice.</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Mănuși din impletitura metalică: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schimbarea cuțitelor la mașinile de tăiat.</w:t>
      </w:r>
    </w:p>
    <w:p>
      <w:pPr>
        <w:pStyle w:val="Normal"/>
        <w:widowControl/>
        <w:numPr>
          <w:ilvl w:val="0"/>
          <w:numId w:val="0"/>
        </w:numPr>
        <w:tabs>
          <w:tab w:val="clear" w:pos="720"/>
          <w:tab w:val="left" w:pos="450" w:leader="none"/>
        </w:tabs>
        <w:spacing w:before="0" w:after="120"/>
        <w:ind w:hanging="0" w:left="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 împotriva intemperiilor:</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aer liber pe ploaie și vreme rece.</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Activități de paza,</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Activități în silvicultura</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Activități de monitorizare a oleoductelor și gazoductelor</w:t>
      </w:r>
    </w:p>
    <w:p>
      <w:pPr>
        <w:pStyle w:val="Normal"/>
        <w:widowControl/>
        <w:numPr>
          <w:ilvl w:val="0"/>
          <w:numId w:val="20"/>
        </w:numPr>
        <w:spacing w:before="0" w:after="120"/>
        <w:ind w:right="0"/>
        <w:jc w:val="left"/>
        <w:rPr>
          <w:rFonts w:ascii="Arial" w:hAnsi="Arial" w:cs="Arial"/>
          <w:b/>
          <w:bCs/>
          <w:sz w:val="20"/>
          <w:szCs w:val="20"/>
        </w:rPr>
      </w:pPr>
      <w:r>
        <w:rPr>
          <w:rFonts w:eastAsia="Arial" w:cs="Arial" w:ascii="Arial" w:hAnsi="Arial"/>
          <w:b/>
          <w:bCs/>
          <w:color w:val="auto"/>
          <w:spacing w:val="0"/>
          <w:w w:val="100"/>
          <w:sz w:val="20"/>
          <w:szCs w:val="20"/>
          <w:lang w:val="ro-RO"/>
        </w:rPr>
        <w:t>Îmbrăcăminte reflectorizantă: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locuri în care lucrătorii trebuie să poată fi observați la timp.</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la drumuri și șosele, poduri, cai ferate,</w:t>
      </w:r>
    </w:p>
    <w:p>
      <w:pPr>
        <w:pStyle w:val="Normal"/>
        <w:widowControl/>
        <w:numPr>
          <w:ilvl w:val="0"/>
          <w:numId w:val="20"/>
        </w:numPr>
        <w:spacing w:before="0" w:after="120"/>
        <w:ind w:right="0"/>
        <w:jc w:val="left"/>
        <w:rPr>
          <w:rFonts w:ascii="Arial" w:hAnsi="Arial" w:cs="Arial"/>
          <w:b/>
          <w:bCs/>
          <w:sz w:val="20"/>
          <w:szCs w:val="20"/>
        </w:rPr>
      </w:pPr>
      <w:r>
        <w:rPr>
          <w:rFonts w:eastAsia="Arial" w:cs="Arial" w:ascii="Arial" w:hAnsi="Arial"/>
          <w:b/>
          <w:bCs/>
          <w:color w:val="auto"/>
          <w:spacing w:val="0"/>
          <w:w w:val="100"/>
          <w:sz w:val="20"/>
          <w:szCs w:val="20"/>
          <w:lang w:val="ro-RO"/>
        </w:rPr>
        <w:t>Centuri de securitate:</w:t>
      </w:r>
    </w:p>
    <w:p>
      <w:pPr>
        <w:pStyle w:val="Normal"/>
        <w:widowControl/>
        <w:numPr>
          <w:ilvl w:val="0"/>
          <w:numId w:val="6"/>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lucru la înălțime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schele;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asamblarea de piese prefabricate;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stâlpi.</w:t>
      </w:r>
    </w:p>
    <w:p>
      <w:pPr>
        <w:pStyle w:val="Normal"/>
        <w:widowControl/>
        <w:numPr>
          <w:ilvl w:val="0"/>
          <w:numId w:val="20"/>
        </w:numPr>
        <w:spacing w:before="0" w:after="120"/>
        <w:ind w:right="0"/>
        <w:jc w:val="left"/>
        <w:rPr>
          <w:rFonts w:ascii="Arial" w:hAnsi="Arial" w:cs="Arial"/>
          <w:b/>
          <w:bCs/>
          <w:sz w:val="20"/>
          <w:szCs w:val="20"/>
        </w:rPr>
      </w:pPr>
      <w:r>
        <w:rPr>
          <w:rFonts w:eastAsia="Arial" w:cs="Arial" w:ascii="Arial" w:hAnsi="Arial"/>
          <w:b/>
          <w:bCs/>
          <w:color w:val="auto"/>
          <w:spacing w:val="0"/>
          <w:w w:val="100"/>
          <w:sz w:val="20"/>
          <w:szCs w:val="20"/>
          <w:lang w:val="ro-RO"/>
        </w:rPr>
        <w:t>Frânghii de securitate:</w:t>
      </w:r>
    </w:p>
    <w:p>
      <w:pPr>
        <w:pStyle w:val="Normal"/>
        <w:widowControl/>
        <w:numPr>
          <w:ilvl w:val="0"/>
          <w:numId w:val="26"/>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lucru la înălțime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cabine de macarale amplasate la mare înălțime;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cabine de stivuitoare și elevatoare amplasate la mare înălțime în depozite;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puțuri și canalizări.</w:t>
      </w:r>
    </w:p>
    <w:p>
      <w:pPr>
        <w:pStyle w:val="Normal"/>
        <w:widowControl/>
        <w:numPr>
          <w:ilvl w:val="0"/>
          <w:numId w:val="20"/>
        </w:numPr>
        <w:spacing w:before="0" w:after="120"/>
        <w:ind w:right="0"/>
        <w:jc w:val="left"/>
        <w:rPr>
          <w:rFonts w:ascii="Arial" w:hAnsi="Arial" w:cs="Arial"/>
          <w:b/>
          <w:bCs/>
          <w:sz w:val="20"/>
          <w:szCs w:val="20"/>
        </w:rPr>
      </w:pPr>
      <w:r>
        <w:rPr>
          <w:rFonts w:eastAsia="Arial" w:cs="Arial" w:ascii="Arial" w:hAnsi="Arial"/>
          <w:b/>
          <w:bCs/>
          <w:color w:val="auto"/>
          <w:spacing w:val="0"/>
          <w:w w:val="100"/>
          <w:sz w:val="20"/>
          <w:szCs w:val="20"/>
          <w:lang w:val="ro-RO"/>
        </w:rPr>
        <w:t>Protecția pielii: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prelucrarea materialelor de acoperire;</w:t>
      </w:r>
    </w:p>
    <w:p>
      <w:pPr>
        <w:pStyle w:val="Normal"/>
        <w:widowControl/>
        <w:spacing w:before="0" w:after="120"/>
        <w:ind w:hanging="0"/>
        <w:jc w:val="left"/>
        <w:rPr>
          <w:rFonts w:ascii="Arial" w:hAnsi="Arial" w:cs="Arial"/>
          <w:sz w:val="20"/>
          <w:szCs w:val="20"/>
        </w:rPr>
      </w:pPr>
      <w:r>
        <w:rPr>
          <w:rFonts w:eastAsia="Arial" w:cs="Arial" w:ascii="Arial" w:hAnsi="Arial"/>
          <w:color w:val="auto"/>
          <w:spacing w:val="0"/>
          <w:w w:val="100"/>
          <w:sz w:val="20"/>
          <w:szCs w:val="20"/>
          <w:lang w:val="ro-RO"/>
        </w:rPr>
        <w:t>{{#equippedPositions}}</w:t>
      </w:r>
    </w:p>
    <w:p>
      <w:pPr>
        <w:pStyle w:val="Normal"/>
        <w:keepNext w:val="true"/>
        <w:widowControl/>
        <w:spacing w:before="240" w:after="120"/>
        <w:ind w:hanging="0"/>
        <w:jc w:val="left"/>
        <w:rPr>
          <w:rFonts w:ascii="Arial" w:hAnsi="Arial" w:cs="Arial"/>
          <w:sz w:val="20"/>
          <w:szCs w:val="20"/>
        </w:rPr>
      </w:pPr>
      <w:r>
        <w:rPr>
          <w:rFonts w:eastAsia="Arial" w:cs="Arial" w:ascii="Arial" w:hAnsi="Arial"/>
          <w:b/>
          <w:color w:val="auto"/>
          <w:spacing w:val="0"/>
          <w:w w:val="100"/>
          <w:sz w:val="20"/>
          <w:szCs w:val="20"/>
          <w:lang w:val="ro-RO"/>
        </w:rPr>
        <w:t>{{#workZoneLine}}LOC DE MUNCĂ: {{workZone}} / {{/workZoneLine}}POST DE LUCRU: {{name}}</w:t>
      </w:r>
    </w:p>
    <w:tbl>
      <w:tblPr>
        <w:tblW w:w="5000" w:type="pct"/>
        <w:jc w:val="left"/>
        <w:tblInd w:w="55" w:type="dxa"/>
        <w:tblLayout w:type="fixed"/>
        <w:tblCellMar>
          <w:top w:w="55" w:type="dxa"/>
          <w:left w:w="55" w:type="dxa"/>
          <w:bottom w:w="55" w:type="dxa"/>
          <w:right w:w="55" w:type="dxa"/>
        </w:tblCellMar>
      </w:tblPr>
      <w:tblGrid>
        <w:gridCol w:w="4761"/>
        <w:gridCol w:w="4764"/>
        <w:gridCol w:w="2380"/>
        <w:gridCol w:w="2382"/>
      </w:tblGrid>
      <w:tr>
        <w:trPr>
          <w:tblHeader w:val="true"/>
        </w:trPr>
        <w:tc>
          <w:tcPr>
            <w:tcW w:w="476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Risc</w:t>
            </w:r>
          </w:p>
        </w:tc>
        <w:tc>
          <w:tcPr>
            <w:tcW w:w="476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Sortiment E.I.P. necesar de acordat</w:t>
            </w:r>
          </w:p>
        </w:tc>
        <w:tc>
          <w:tcPr>
            <w:tcW w:w="238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Cantitate și durata de utilizare</w:t>
            </w:r>
          </w:p>
        </w:tc>
        <w:tc>
          <w:tcPr>
            <w:tcW w:w="238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Mod de acordare</w:t>
            </w:r>
          </w:p>
        </w:tc>
      </w:tr>
      <w:tr>
        <w:trPr/>
        <w:tc>
          <w:tcPr>
            <w:tcW w:w="4761"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{{#equipment}}{{risk}}</w:t>
            </w:r>
          </w:p>
        </w:tc>
        <w:tc>
          <w:tcPr>
            <w:tcW w:w="4764"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{{item}}</w:t>
            </w:r>
          </w:p>
        </w:tc>
        <w:tc>
          <w:tcPr>
            <w:tcW w:w="238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{{quantityLabel}}</w:t>
            </w:r>
          </w:p>
        </w:tc>
        <w:tc>
          <w:tcPr>
            <w:tcW w:w="238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{{allocationLabel}}{{/equipment}}</w:t>
            </w:r>
          </w:p>
        </w:tc>
      </w:tr>
    </w:tbl>
    <w:p>
      <w:pPr>
        <w:pStyle w:val="Normal"/>
        <w:widowControl/>
        <w:spacing w:before="120" w:after="120"/>
        <w:ind w:hanging="0"/>
        <w:jc w:val="left"/>
        <w:rPr>
          <w:rFonts w:ascii="Arial" w:hAnsi="Arial" w:cs="Arial"/>
          <w:b w:val="false"/>
          <w:sz w:val="20"/>
          <w:szCs w:val="20"/>
        </w:rPr>
      </w:pPr>
      <w:r>
        <w:rPr>
          <w:rFonts w:eastAsia="Arial" w:cs="Arial" w:ascii="Arial" w:hAnsi="Arial"/>
          <w:b w:val="false"/>
          <w:color w:val="auto"/>
          <w:spacing w:val="0"/>
          <w:w w:val="100"/>
          <w:sz w:val="20"/>
          <w:szCs w:val="20"/>
          <w:lang w:val="ro-RO"/>
        </w:rPr>
        <w:t>{{/equippedPositions}}</w:t>
      </w:r>
    </w:p>
    <w:p>
      <w:pPr>
        <w:pStyle w:val="Normal"/>
        <w:keepNext w:val="false"/>
        <w:widowControl/>
        <w:spacing w:before="240" w:after="120"/>
        <w:ind w:hanging="0" w:left="0"/>
        <w:jc w:val="left"/>
        <w:rPr>
          <w:rFonts w:ascii="Arial" w:hAnsi="Arial" w:cs="Arial"/>
          <w:b w:val="false"/>
          <w:sz w:val="20"/>
          <w:szCs w:val="20"/>
        </w:rPr>
      </w:pPr>
      <w:r>
        <w:rPr>
          <w:rFonts w:eastAsia="Arial" w:cs="Arial" w:ascii="Arial" w:hAnsi="Arial"/>
          <w:b w:val="false"/>
          <w:i w:val="false"/>
          <w:color w:val="auto"/>
          <w:spacing w:val="0"/>
          <w:w w:val="100"/>
          <w:sz w:val="20"/>
          <w:szCs w:val="20"/>
          <w:lang w:val="ro-RO"/>
        </w:rPr>
        <w:t>Observații: La predarea echipamentului individual de protecție se va completa procesul verbal de predare – primire.</w:t>
      </w:r>
    </w:p>
    <w:sectPr>
      <w:headerReference w:type="even" r:id="rId2"/>
      <w:headerReference w:type="default" r:id="rId3"/>
      <w:headerReference w:type="first" r:id="rId4"/>
      <w:footerReference w:type="even" r:id="rId5"/>
      <w:footerReference w:type="default" r:id="rId6"/>
      <w:footerReference w:type="first" r:id="rId7"/>
      <w:type w:val="nextPage"/>
      <w:pgSz w:orient="landscape" w:w="16838" w:h="11906"/>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Wingdings">
    <w:charset w:val="02"/>
    <w:family w:val="roman"/>
    <w:pitch w:val="variable"/>
  </w:font>
  <w:font w:name="Courier New">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Arial">
    <w:charset w:val="01"/>
    <w:family w:val="roman"/>
    <w:pitch w:val="variable"/>
  </w:font>
  <w:font w:name="Arial Black">
    <w:charset w:val="01"/>
    <w:family w:val="swiss"/>
    <w:pitch w:val="variable"/>
  </w:font>
  <w:font w:name="Wingdings">
    <w:charset w:val="02"/>
    <w:family w:val="auto"/>
    <w:pitch w:val="default"/>
  </w:font>
  <w:font w:name="Courier New">
    <w:charset w:val="01"/>
    <w:family w:val="modern"/>
    <w:pitch w:val="fixed"/>
  </w:font>
  <w:font w:name="Symbol">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Article %1."/>
      <w:lvlJc w:val="left"/>
      <w:pPr>
        <w:tabs>
          <w:tab w:val="num" w:pos="1440"/>
        </w:tabs>
        <w:ind w:left="0" w:hanging="0"/>
      </w:pPr>
      <w:rPr>
        <w:rFonts w:ascii="Times New Roman" w:hAnsi="Times New Roman" w:cs="Times New Roman"/>
        <w:b/>
        <w:sz w:val="24"/>
        <w:szCs w:val="24"/>
      </w:rPr>
    </w:lvl>
    <w:lvl w:ilvl="1">
      <w:start w:val="1"/>
      <w:numFmt w:val="decimalZero"/>
      <w:pStyle w:val="Heading2"/>
      <w:isLgl/>
      <w:lvlText w:val="Section %1.%2"/>
      <w:lvlJc w:val="left"/>
      <w:pPr>
        <w:tabs>
          <w:tab w:val="num" w:pos="1080"/>
        </w:tabs>
        <w:ind w:left="0" w:hanging="0"/>
      </w:pPr>
      <w:rPr/>
    </w:lvl>
    <w:lvl w:ilvl="2">
      <w:start w:val="1"/>
      <w:numFmt w:val="lowerLetter"/>
      <w:pStyle w:val="Heading3"/>
      <w:lvlText w:val="(%3)"/>
      <w:lvlJc w:val="left"/>
      <w:pPr>
        <w:tabs>
          <w:tab w:val="num" w:pos="720"/>
        </w:tabs>
        <w:ind w:left="720" w:hanging="432"/>
      </w:pPr>
      <w:rPr/>
    </w:lvl>
    <w:lvl w:ilvl="3">
      <w:start w:val="1"/>
      <w:numFmt w:val="lowerRoman"/>
      <w:pStyle w:val="Heading4"/>
      <w:lvlText w:val="(%4)"/>
      <w:lvlJc w:val="right"/>
      <w:pPr>
        <w:tabs>
          <w:tab w:val="num" w:pos="864"/>
        </w:tabs>
        <w:ind w:left="864" w:hanging="144"/>
      </w:pPr>
      <w:rPr/>
    </w:lvl>
    <w:lvl w:ilvl="4">
      <w:start w:val="1"/>
      <w:numFmt w:val="decimal"/>
      <w:pStyle w:val="Heading5"/>
      <w:lvlText w:val="%5)"/>
      <w:lvlJc w:val="left"/>
      <w:pPr>
        <w:tabs>
          <w:tab w:val="num" w:pos="1008"/>
        </w:tabs>
        <w:ind w:left="1008" w:hanging="432"/>
      </w:pPr>
      <w:rPr/>
    </w:lvl>
    <w:lvl w:ilvl="5">
      <w:start w:val="1"/>
      <w:numFmt w:val="lowerLetter"/>
      <w:pStyle w:val="Heading6"/>
      <w:lvlText w:val="%6)"/>
      <w:lvlJc w:val="left"/>
      <w:pPr>
        <w:tabs>
          <w:tab w:val="num" w:pos="1152"/>
        </w:tabs>
        <w:ind w:left="1152" w:hanging="432"/>
      </w:pPr>
      <w:rPr/>
    </w:lvl>
    <w:lvl w:ilvl="6">
      <w:start w:val="1"/>
      <w:numFmt w:val="lowerRoman"/>
      <w:pStyle w:val="Heading7"/>
      <w:lvlText w:val="%7)"/>
      <w:lvlJc w:val="right"/>
      <w:pPr>
        <w:tabs>
          <w:tab w:val="num" w:pos="1296"/>
        </w:tabs>
        <w:ind w:left="1296" w:hanging="288"/>
      </w:pPr>
      <w:rPr/>
    </w:lvl>
    <w:lvl w:ilvl="7">
      <w:start w:val="1"/>
      <w:numFmt w:val="lowerLetter"/>
      <w:pStyle w:val="Heading8"/>
      <w:lvlText w:val="%8."/>
      <w:lvlJc w:val="left"/>
      <w:pPr>
        <w:tabs>
          <w:tab w:val="num" w:pos="1440"/>
        </w:tabs>
        <w:ind w:left="1440" w:hanging="432"/>
      </w:pPr>
      <w:rPr/>
    </w:lvl>
    <w:lvl w:ilvl="8">
      <w:start w:val="1"/>
      <w:numFmt w:val="lowerRoman"/>
      <w:pStyle w:val="Heading9"/>
      <w:lvlText w:val="%9."/>
      <w:lvlJc w:val="right"/>
      <w:pPr>
        <w:tabs>
          <w:tab w:val="num" w:pos="1584"/>
        </w:tabs>
        <w:ind w:left="1584" w:hanging="144"/>
      </w:pPr>
      <w:rPr/>
    </w:lvl>
  </w:abstractNum>
  <w:abstractNum w:abstractNumId="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lvl>
    <w:lvl w:ilvl="1">
      <w:start w:val="1"/>
      <w:numFmt w:val="bullet"/>
      <w:lvlText w:val=""/>
      <w:lvlJc w:val="left"/>
      <w:pPr>
        <w:tabs>
          <w:tab w:val="num" w:pos="1800"/>
        </w:tabs>
        <w:ind w:left="1800" w:hanging="360"/>
      </w:pPr>
      <w:rPr>
        <w:rFonts w:ascii="Symbol" w:hAnsi="Symbol" w:cs="Symbol" w:hint="default"/>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left"/>
      <w:pPr>
        <w:tabs>
          <w:tab w:val="num" w:pos="720"/>
        </w:tabs>
        <w:ind w:left="720" w:hanging="360"/>
      </w:pPr>
      <w:rPr/>
    </w:lvl>
    <w:lvl w:ilvl="1">
      <w:start w:val="1"/>
      <w:numFmt w:val="bullet"/>
      <w:lvlText w:val=""/>
      <w:lvlJc w:val="left"/>
      <w:pPr>
        <w:tabs>
          <w:tab w:val="num" w:pos="1800"/>
        </w:tabs>
        <w:ind w:left="1800" w:hanging="360"/>
      </w:pPr>
      <w:rPr>
        <w:rFonts w:ascii="Symbol" w:hAnsi="Symbol" w:cs="Symbol" w:hint="default"/>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7"/>
      <w:numFmt w:val="decimal"/>
      <w:lvlText w:val="%1."/>
      <w:lvlJc w:val="left"/>
      <w:pPr>
        <w:tabs>
          <w:tab w:val="num" w:pos="540"/>
        </w:tabs>
        <w:ind w:left="54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bullet"/>
      <w:lvlText w:val="o"/>
      <w:lvlJc w:val="left"/>
      <w:pPr>
        <w:tabs>
          <w:tab w:val="num" w:pos="1800"/>
        </w:tabs>
        <w:ind w:left="1800" w:hanging="360"/>
      </w:pPr>
      <w:rPr>
        <w:rFonts w:ascii="Courier New" w:hAnsi="Courier New" w:cs="Courier New"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5">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bullet"/>
      <w:lvlText w:val=""/>
      <w:lvlJc w:val="left"/>
      <w:pPr>
        <w:tabs>
          <w:tab w:val="num" w:pos="1080"/>
        </w:tabs>
        <w:ind w:left="1080" w:hanging="360"/>
      </w:pPr>
      <w:rPr>
        <w:rFonts w:ascii="Symbol" w:hAnsi="Symbol" w:cs="Symbol"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805"/>
        </w:tabs>
        <w:ind w:left="2805" w:hanging="360"/>
      </w:pPr>
      <w:rPr>
        <w:rFonts w:ascii="Wingdings" w:hAnsi="Wingdings" w:cs="Wingdings" w:hint="default"/>
      </w:rPr>
    </w:lvl>
    <w:lvl w:ilvl="3">
      <w:start w:val="1"/>
      <w:numFmt w:val="bullet"/>
      <w:lvlText w:val=""/>
      <w:lvlJc w:val="left"/>
      <w:pPr>
        <w:tabs>
          <w:tab w:val="num" w:pos="3525"/>
        </w:tabs>
        <w:ind w:left="3525" w:hanging="360"/>
      </w:pPr>
      <w:rPr>
        <w:rFonts w:ascii="Symbol" w:hAnsi="Symbol" w:cs="Symbol" w:hint="default"/>
      </w:rPr>
    </w:lvl>
    <w:lvl w:ilvl="4">
      <w:start w:val="1"/>
      <w:numFmt w:val="bullet"/>
      <w:lvlText w:val="o"/>
      <w:lvlJc w:val="left"/>
      <w:pPr>
        <w:tabs>
          <w:tab w:val="num" w:pos="4245"/>
        </w:tabs>
        <w:ind w:left="4245" w:hanging="360"/>
      </w:pPr>
      <w:rPr>
        <w:rFonts w:ascii="Courier New" w:hAnsi="Courier New" w:cs="Courier New" w:hint="default"/>
      </w:rPr>
    </w:lvl>
    <w:lvl w:ilvl="5">
      <w:start w:val="1"/>
      <w:numFmt w:val="bullet"/>
      <w:lvlText w:val=""/>
      <w:lvlJc w:val="left"/>
      <w:pPr>
        <w:tabs>
          <w:tab w:val="num" w:pos="4965"/>
        </w:tabs>
        <w:ind w:left="4965" w:hanging="360"/>
      </w:pPr>
      <w:rPr>
        <w:rFonts w:ascii="Wingdings" w:hAnsi="Wingdings" w:cs="Wingdings" w:hint="default"/>
      </w:rPr>
    </w:lvl>
    <w:lvl w:ilvl="6">
      <w:start w:val="1"/>
      <w:numFmt w:val="bullet"/>
      <w:lvlText w:val=""/>
      <w:lvlJc w:val="left"/>
      <w:pPr>
        <w:tabs>
          <w:tab w:val="num" w:pos="5685"/>
        </w:tabs>
        <w:ind w:left="5685" w:hanging="360"/>
      </w:pPr>
      <w:rPr>
        <w:rFonts w:ascii="Symbol" w:hAnsi="Symbol" w:cs="Symbol" w:hint="default"/>
      </w:rPr>
    </w:lvl>
    <w:lvl w:ilvl="7">
      <w:start w:val="1"/>
      <w:numFmt w:val="bullet"/>
      <w:lvlText w:val="o"/>
      <w:lvlJc w:val="left"/>
      <w:pPr>
        <w:tabs>
          <w:tab w:val="num" w:pos="6405"/>
        </w:tabs>
        <w:ind w:left="6405" w:hanging="360"/>
      </w:pPr>
      <w:rPr>
        <w:rFonts w:ascii="Courier New" w:hAnsi="Courier New" w:cs="Courier New" w:hint="default"/>
      </w:rPr>
    </w:lvl>
    <w:lvl w:ilvl="8">
      <w:start w:val="1"/>
      <w:numFmt w:val="bullet"/>
      <w:lvlText w:val=""/>
      <w:lvlJc w:val="left"/>
      <w:pPr>
        <w:tabs>
          <w:tab w:val="num" w:pos="7125"/>
        </w:tabs>
        <w:ind w:left="7125"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Symbol" w:hAnsi="Symbol" w:cs="Symbol" w:hint="default"/>
      </w:rPr>
    </w:lvl>
    <w:lvl w:ilvl="1">
      <w:start w:val="19"/>
      <w:numFmt w:val="bullet"/>
      <w:lvlText w:val="-"/>
      <w:lvlJc w:val="left"/>
      <w:pPr>
        <w:tabs>
          <w:tab w:val="num" w:pos="1725"/>
        </w:tabs>
        <w:ind w:left="1725" w:hanging="360"/>
      </w:pPr>
      <w:rPr>
        <w:rFonts w:ascii="Times New Roman" w:hAnsi="Times New Roman" w:cs="Times New Roman"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3165"/>
        </w:tabs>
        <w:ind w:left="3165" w:hanging="360"/>
      </w:pPr>
      <w:rPr>
        <w:rFonts w:ascii="Symbol" w:hAnsi="Symbol" w:cs="Symbol" w:hint="default"/>
      </w:rPr>
    </w:lvl>
    <w:lvl w:ilvl="4">
      <w:start w:val="1"/>
      <w:numFmt w:val="bullet"/>
      <w:lvlText w:val="o"/>
      <w:lvlJc w:val="left"/>
      <w:pPr>
        <w:tabs>
          <w:tab w:val="num" w:pos="3885"/>
        </w:tabs>
        <w:ind w:left="3885" w:hanging="360"/>
      </w:pPr>
      <w:rPr>
        <w:rFonts w:ascii="Courier New" w:hAnsi="Courier New" w:cs="Courier New" w:hint="default"/>
      </w:rPr>
    </w:lvl>
    <w:lvl w:ilvl="5">
      <w:start w:val="1"/>
      <w:numFmt w:val="bullet"/>
      <w:lvlText w:val=""/>
      <w:lvlJc w:val="left"/>
      <w:pPr>
        <w:tabs>
          <w:tab w:val="num" w:pos="4605"/>
        </w:tabs>
        <w:ind w:left="4605" w:hanging="360"/>
      </w:pPr>
      <w:rPr>
        <w:rFonts w:ascii="Wingdings" w:hAnsi="Wingdings" w:cs="Wingdings" w:hint="default"/>
      </w:rPr>
    </w:lvl>
    <w:lvl w:ilvl="6">
      <w:start w:val="1"/>
      <w:numFmt w:val="bullet"/>
      <w:lvlText w:val=""/>
      <w:lvlJc w:val="left"/>
      <w:pPr>
        <w:tabs>
          <w:tab w:val="num" w:pos="5325"/>
        </w:tabs>
        <w:ind w:left="5325" w:hanging="360"/>
      </w:pPr>
      <w:rPr>
        <w:rFonts w:ascii="Symbol" w:hAnsi="Symbol" w:cs="Symbol" w:hint="default"/>
      </w:rPr>
    </w:lvl>
    <w:lvl w:ilvl="7">
      <w:start w:val="1"/>
      <w:numFmt w:val="bullet"/>
      <w:lvlText w:val="o"/>
      <w:lvlJc w:val="left"/>
      <w:pPr>
        <w:tabs>
          <w:tab w:val="num" w:pos="6045"/>
        </w:tabs>
        <w:ind w:left="6045" w:hanging="360"/>
      </w:pPr>
      <w:rPr>
        <w:rFonts w:ascii="Courier New" w:hAnsi="Courier New" w:cs="Courier New" w:hint="default"/>
      </w:rPr>
    </w:lvl>
    <w:lvl w:ilvl="8">
      <w:start w:val="1"/>
      <w:numFmt w:val="bullet"/>
      <w:lvlText w:val=""/>
      <w:lvlJc w:val="left"/>
      <w:pPr>
        <w:tabs>
          <w:tab w:val="num" w:pos="6765"/>
        </w:tabs>
        <w:ind w:left="6765" w:hanging="360"/>
      </w:pPr>
      <w:rPr>
        <w:rFonts w:ascii="Wingdings" w:hAnsi="Wingdings" w:cs="Wingdings" w:hint="default"/>
      </w:rPr>
    </w:lvl>
  </w:abstractNum>
  <w:abstractNum w:abstractNumId="20">
    <w:lvl w:ilvl="0">
      <w:start w:val="8"/>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bullet"/>
      <w:lvlText w:val=""/>
      <w:lvlJc w:val="left"/>
      <w:pPr>
        <w:tabs>
          <w:tab w:val="num" w:pos="1800"/>
        </w:tabs>
        <w:ind w:left="180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decimal"/>
      <w:suff w:val="space"/>
      <w:lvlText w:val="Art.%1"/>
      <w:lvlJc w:val="left"/>
      <w:pPr>
        <w:tabs>
          <w:tab w:val="num" w:pos="0"/>
        </w:tabs>
        <w:ind w:left="81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bullet"/>
      <w:lvlText w:val=""/>
      <w:lvlJc w:val="left"/>
      <w:pPr>
        <w:tabs>
          <w:tab w:val="num" w:pos="2520"/>
        </w:tabs>
        <w:ind w:left="2520" w:hanging="360"/>
      </w:pPr>
      <w:rPr>
        <w:rFonts w:ascii="Symbol" w:hAnsi="Symbol" w:cs="Symbol" w:hint="default"/>
      </w:rPr>
    </w:lvl>
    <w:lvl w:ilvl="1">
      <w:start w:val="1"/>
      <w:numFmt w:val="bullet"/>
      <w:lvlText w:val="o"/>
      <w:lvlJc w:val="left"/>
      <w:pPr>
        <w:tabs>
          <w:tab w:val="num" w:pos="3240"/>
        </w:tabs>
        <w:ind w:left="32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4680"/>
        </w:tabs>
        <w:ind w:left="4680" w:hanging="360"/>
      </w:pPr>
      <w:rPr>
        <w:rFonts w:ascii="Symbol" w:hAnsi="Symbol" w:cs="Symbol" w:hint="default"/>
      </w:rPr>
    </w:lvl>
    <w:lvl w:ilvl="4">
      <w:start w:val="1"/>
      <w:numFmt w:val="bullet"/>
      <w:lvlText w:val="o"/>
      <w:lvlJc w:val="left"/>
      <w:pPr>
        <w:tabs>
          <w:tab w:val="num" w:pos="5400"/>
        </w:tabs>
        <w:ind w:left="5400" w:hanging="360"/>
      </w:pPr>
      <w:rPr>
        <w:rFonts w:ascii="Courier New" w:hAnsi="Courier New" w:cs="Courier New" w:hint="default"/>
      </w:rPr>
    </w:lvl>
    <w:lvl w:ilvl="5">
      <w:start w:val="1"/>
      <w:numFmt w:val="bullet"/>
      <w:lvlText w:val=""/>
      <w:lvlJc w:val="left"/>
      <w:pPr>
        <w:tabs>
          <w:tab w:val="num" w:pos="6120"/>
        </w:tabs>
        <w:ind w:left="6120" w:hanging="360"/>
      </w:pPr>
      <w:rPr>
        <w:rFonts w:ascii="Wingdings" w:hAnsi="Wingdings" w:cs="Wingdings" w:hint="default"/>
      </w:rPr>
    </w:lvl>
    <w:lvl w:ilvl="6">
      <w:start w:val="1"/>
      <w:numFmt w:val="bullet"/>
      <w:lvlText w:val=""/>
      <w:lvlJc w:val="left"/>
      <w:pPr>
        <w:tabs>
          <w:tab w:val="num" w:pos="6840"/>
        </w:tabs>
        <w:ind w:left="6840" w:hanging="360"/>
      </w:pPr>
      <w:rPr>
        <w:rFonts w:ascii="Symbol" w:hAnsi="Symbol" w:cs="Symbol" w:hint="default"/>
      </w:rPr>
    </w:lvl>
    <w:lvl w:ilvl="7">
      <w:start w:val="1"/>
      <w:numFmt w:val="bullet"/>
      <w:lvlText w:val="o"/>
      <w:lvlJc w:val="left"/>
      <w:pPr>
        <w:tabs>
          <w:tab w:val="num" w:pos="7560"/>
        </w:tabs>
        <w:ind w:left="7560" w:hanging="360"/>
      </w:pPr>
      <w:rPr>
        <w:rFonts w:ascii="Courier New" w:hAnsi="Courier New" w:cs="Courier New" w:hint="default"/>
      </w:rPr>
    </w:lvl>
    <w:lvl w:ilvl="8">
      <w:start w:val="1"/>
      <w:numFmt w:val="bullet"/>
      <w:lvlText w:val=""/>
      <w:lvlJc w:val="left"/>
      <w:pPr>
        <w:tabs>
          <w:tab w:val="num" w:pos="8280"/>
        </w:tabs>
        <w:ind w:left="8280" w:hanging="360"/>
      </w:pPr>
      <w:rPr>
        <w:rFonts w:ascii="Wingdings" w:hAnsi="Wingdings" w:cs="Wingdings" w:hint="default"/>
      </w:rPr>
    </w:lvl>
  </w:abstractNum>
  <w:abstractNum w:abstractNumId="3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spacing w:before="240" w:after="60"/>
      <w:outlineLvl w:val="1"/>
    </w:pPr>
    <w:rPr>
      <w:rFonts w:ascii="Arial" w:hAnsi="Arial" w:cs="Arial"/>
      <w:b/>
      <w:bCs/>
      <w:i/>
      <w:iCs/>
      <w:sz w:val="28"/>
      <w:szCs w:val="28"/>
    </w:rPr>
  </w:style>
  <w:style w:type="paragraph" w:styleId="Heading3">
    <w:name w:val="heading 3"/>
    <w:basedOn w:val="Normal"/>
    <w:next w:val="Normal"/>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pPr>
      <w:keepNext w:val="true"/>
      <w:numPr>
        <w:ilvl w:val="3"/>
        <w:numId w:val="1"/>
      </w:numPr>
      <w:spacing w:before="240" w:after="60"/>
      <w:outlineLvl w:val="3"/>
    </w:pPr>
    <w:rPr>
      <w:b/>
      <w:bCs/>
      <w:sz w:val="28"/>
      <w:szCs w:val="28"/>
    </w:rPr>
  </w:style>
  <w:style w:type="paragraph" w:styleId="Heading5">
    <w:name w:val="heading 5"/>
    <w:basedOn w:val="Normal"/>
    <w:next w:val="Normal"/>
    <w:pPr>
      <w:numPr>
        <w:ilvl w:val="4"/>
        <w:numId w:val="1"/>
      </w:numPr>
      <w:spacing w:before="240" w:after="60"/>
      <w:outlineLvl w:val="4"/>
    </w:pPr>
    <w:rPr>
      <w:b/>
      <w:bCs/>
      <w:i/>
      <w:iCs/>
      <w:sz w:val="26"/>
      <w:szCs w:val="26"/>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numPr>
        <w:ilvl w:val="6"/>
        <w:numId w:val="1"/>
      </w:numPr>
      <w:spacing w:before="240" w:after="60"/>
      <w:outlineLvl w:val="6"/>
    </w:pPr>
    <w:rPr/>
  </w:style>
  <w:style w:type="paragraph" w:styleId="Heading8">
    <w:name w:val="heading 8"/>
    <w:basedOn w:val="Normal"/>
    <w:next w:val="Normal"/>
    <w:pPr>
      <w:numPr>
        <w:ilvl w:val="7"/>
        <w:numId w:val="1"/>
      </w:numPr>
      <w:spacing w:before="240" w:after="60"/>
      <w:outlineLvl w:val="7"/>
    </w:pPr>
    <w:rPr>
      <w:i/>
      <w:iCs/>
    </w:rPr>
  </w:style>
  <w:style w:type="paragraph" w:styleId="Heading9">
    <w:name w:val="heading 9"/>
    <w:basedOn w:val="Normal"/>
    <w:next w:val="Normal"/>
    <w:pPr>
      <w:numPr>
        <w:ilvl w:val="8"/>
        <w:numId w:val="1"/>
      </w:numPr>
      <w:spacing w:before="240" w:after="60"/>
      <w:outlineLvl w:val="8"/>
    </w:pPr>
    <w:rPr>
      <w:rFonts w:ascii="Arial" w:hAnsi="Arial" w:cs="Arial"/>
      <w:sz w:val="22"/>
      <w:szCs w:val="22"/>
    </w:rPr>
  </w:style>
  <w:style w:type="character" w:styleId="WW8Num1z0">
    <w:name w:val="WW8Num1z0"/>
    <w:rPr>
      <w:b/>
    </w:rPr>
  </w:style>
  <w:style w:type="character" w:styleId="WW8Num2z0">
    <w:name w:val="WW8Num2z0"/>
    <w:rPr>
      <w:rFonts w:ascii="Wingdings" w:hAnsi="Wingdings" w:cs="Wingdings"/>
    </w:rPr>
  </w:style>
  <w:style w:type="character" w:styleId="WW8Num2z1">
    <w:name w:val="WW8Num2z1"/>
    <w:rPr>
      <w:rFonts w:ascii="Courier New" w:hAnsi="Courier New" w:cs="Courier New"/>
    </w:rPr>
  </w:style>
  <w:style w:type="character" w:styleId="WW8Num2z3">
    <w:name w:val="WW8Num2z3"/>
    <w:rPr>
      <w:rFonts w:ascii="Symbol" w:hAnsi="Symbol" w:cs="Symbol"/>
    </w:rPr>
  </w:style>
  <w:style w:type="character" w:styleId="WW8Num4z1">
    <w:name w:val="WW8Num4z1"/>
    <w:rPr>
      <w:rFonts w:ascii="Symbol" w:hAnsi="Symbol" w:cs="Symbol"/>
    </w:rPr>
  </w:style>
  <w:style w:type="character" w:styleId="WW8Num5z0">
    <w:name w:val="WW8Num5z0"/>
    <w:rPr>
      <w:rFonts w:ascii="Wingdings" w:hAnsi="Wingdings" w:cs="Wingdings"/>
    </w:rPr>
  </w:style>
  <w:style w:type="character" w:styleId="WW8Num5z1">
    <w:name w:val="WW8Num5z1"/>
    <w:rPr>
      <w:rFonts w:ascii="Courier New" w:hAnsi="Courier New" w:cs="Courier New"/>
    </w:rPr>
  </w:style>
  <w:style w:type="character" w:styleId="WW8Num5z3">
    <w:name w:val="WW8Num5z3"/>
    <w:rPr>
      <w:rFonts w:ascii="Symbol" w:hAnsi="Symbol" w:cs="Symbol"/>
    </w:rPr>
  </w:style>
  <w:style w:type="character" w:styleId="WW8Num6z1">
    <w:name w:val="WW8Num6z1"/>
    <w:rPr>
      <w:rFonts w:ascii="Symbol" w:hAnsi="Symbol" w:cs="Symbol"/>
    </w:rPr>
  </w:style>
  <w:style w:type="character" w:styleId="WW8Num7z0">
    <w:name w:val="WW8Num7z0"/>
    <w:rPr>
      <w:rFonts w:ascii="Times New Roman" w:hAnsi="Times New Roman" w:cs="Times New Roman"/>
      <w:b/>
      <w:sz w:val="24"/>
      <w:szCs w:val="24"/>
    </w:rPr>
  </w:style>
  <w:style w:type="character" w:styleId="WW8Num8z0">
    <w:name w:val="WW8Num8z0"/>
    <w:rPr/>
  </w:style>
  <w:style w:type="character" w:styleId="WW8Num9z0">
    <w:name w:val="WW8Num9z0"/>
    <w:rPr>
      <w:rFonts w:ascii="Symbol" w:hAnsi="Symbol" w:cs="Symbol"/>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10z0">
    <w:name w:val="WW8Num10z0"/>
    <w:rPr>
      <w:rFonts w:ascii="Courier New" w:hAnsi="Courier New" w:cs="Courier New"/>
    </w:rPr>
  </w:style>
  <w:style w:type="character" w:styleId="WW8Num10z1">
    <w:name w:val="WW8Num10z1"/>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1z0">
    <w:name w:val="WW8Num11z0"/>
    <w:rPr>
      <w:rFonts w:ascii="Symbol" w:hAnsi="Symbol" w:cs="Symbol"/>
    </w:rPr>
  </w:style>
  <w:style w:type="character" w:styleId="WW8Num11z1">
    <w:name w:val="WW8Num11z1"/>
    <w:rPr>
      <w:rFonts w:ascii="Times New Roman" w:hAnsi="Times New Roman" w:eastAsia="Times New Roman" w:cs="Times New Roman"/>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rFonts w:ascii="Symbol" w:hAnsi="Symbol" w:cs="Symbol"/>
    </w:rPr>
  </w:style>
  <w:style w:type="character" w:styleId="WW8Num12z1">
    <w:name w:val="WW8Num12z1"/>
    <w:rPr>
      <w:rFonts w:ascii="Courier New" w:hAnsi="Courier New" w:cs="Courier New"/>
    </w:rPr>
  </w:style>
  <w:style w:type="character" w:styleId="WW8Num12z2">
    <w:name w:val="WW8Num12z2"/>
    <w:rPr>
      <w:rFonts w:ascii="Wingdings" w:hAnsi="Wingdings" w:cs="Wingdings"/>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rFonts w:ascii="Symbol" w:hAnsi="Symbol" w:cs="Symbol"/>
    </w:rPr>
  </w:style>
  <w:style w:type="character" w:styleId="WW8Num14z1">
    <w:name w:val="WW8Num14z1"/>
    <w:rPr>
      <w:rFonts w:ascii="Courier New" w:hAnsi="Courier New" w:cs="Courier New"/>
    </w:rPr>
  </w:style>
  <w:style w:type="character" w:styleId="WW8Num14z2">
    <w:name w:val="WW8Num14z2"/>
    <w:rPr>
      <w:rFonts w:ascii="Wingdings" w:hAnsi="Wingdings" w:cs="Wingdings"/>
    </w:rPr>
  </w:style>
  <w:style w:type="character" w:styleId="WW8Num16z0">
    <w:name w:val="WW8Num16z0"/>
    <w:rPr>
      <w:b/>
    </w:rPr>
  </w:style>
  <w:style w:type="character" w:styleId="WW8Num17z0">
    <w:name w:val="WW8Num17z0"/>
    <w:rPr>
      <w:rFonts w:ascii="Wingdings" w:hAnsi="Wingdings" w:cs="Wingdings"/>
    </w:rPr>
  </w:style>
  <w:style w:type="character" w:styleId="WW8Num17z1">
    <w:name w:val="WW8Num17z1"/>
    <w:rPr>
      <w:rFonts w:ascii="Courier New" w:hAnsi="Courier New" w:cs="Courier New"/>
    </w:rPr>
  </w:style>
  <w:style w:type="character" w:styleId="WW8Num17z3">
    <w:name w:val="WW8Num17z3"/>
    <w:rPr>
      <w:rFonts w:ascii="Symbol" w:hAnsi="Symbol" w:cs="Symbol"/>
    </w:rPr>
  </w:style>
  <w:style w:type="character" w:styleId="WW8Num18z0">
    <w:name w:val="WW8Num18z0"/>
    <w:rPr>
      <w:rFonts w:ascii="Symbol" w:hAnsi="Symbol" w:cs="Symbol"/>
    </w:rPr>
  </w:style>
  <w:style w:type="character" w:styleId="WW8Num18z1">
    <w:name w:val="WW8Num18z1"/>
    <w:rPr>
      <w:rFonts w:ascii="Courier New" w:hAnsi="Courier New" w:cs="Courier New"/>
    </w:rPr>
  </w:style>
  <w:style w:type="character" w:styleId="WW8Num18z2">
    <w:name w:val="WW8Num18z2"/>
    <w:rPr>
      <w:rFonts w:ascii="Wingdings" w:hAnsi="Wingdings" w:cs="Wingdings"/>
    </w:rPr>
  </w:style>
  <w:style w:type="character" w:styleId="WW8Num19z0">
    <w:name w:val="WW8Num19z0"/>
    <w:rPr>
      <w:rFonts w:ascii="Symbol" w:hAnsi="Symbol" w:cs="Symbol"/>
    </w:rPr>
  </w:style>
  <w:style w:type="character" w:styleId="WW8Num19z1">
    <w:name w:val="WW8Num19z1"/>
    <w:rPr>
      <w:rFonts w:ascii="Times New Roman" w:hAnsi="Times New Roman" w:eastAsia="Times New Roman" w:cs="Times New Roman"/>
    </w:rPr>
  </w:style>
  <w:style w:type="character" w:styleId="WW8Num19z2">
    <w:name w:val="WW8Num19z2"/>
    <w:rPr>
      <w:rFonts w:ascii="Wingdings" w:hAnsi="Wingdings" w:cs="Wingdings"/>
    </w:rPr>
  </w:style>
  <w:style w:type="character" w:styleId="WW8Num19z4">
    <w:name w:val="WW8Num19z4"/>
    <w:rPr>
      <w:rFonts w:ascii="Courier New" w:hAnsi="Courier New" w:cs="Courier New"/>
    </w:rPr>
  </w:style>
  <w:style w:type="character" w:styleId="WW8Num20z0">
    <w:name w:val="WW8Num20z0"/>
    <w:rPr/>
  </w:style>
  <w:style w:type="character" w:styleId="WW8Num21z0">
    <w:name w:val="WW8Num21z0"/>
    <w:rPr>
      <w:rFonts w:ascii="Symbol" w:hAnsi="Symbol" w:cs="Symbol"/>
    </w:rPr>
  </w:style>
  <w:style w:type="character" w:styleId="WW8Num21z1">
    <w:name w:val="WW8Num21z1"/>
    <w:rPr>
      <w:rFonts w:ascii="Courier New" w:hAnsi="Courier New" w:cs="Courier New"/>
    </w:rPr>
  </w:style>
  <w:style w:type="character" w:styleId="WW8Num21z2">
    <w:name w:val="WW8Num21z2"/>
    <w:rPr>
      <w:rFonts w:ascii="Wingdings" w:hAnsi="Wingdings" w:cs="Wingdings"/>
    </w:rPr>
  </w:style>
  <w:style w:type="character" w:styleId="WW8Num22z0">
    <w:name w:val="WW8Num22z0"/>
    <w:rPr>
      <w:rFonts w:ascii="Symbol" w:hAnsi="Symbol" w:cs="Symbol"/>
    </w:rPr>
  </w:style>
  <w:style w:type="character" w:styleId="WW8Num22z1">
    <w:name w:val="WW8Num22z1"/>
    <w:rPr>
      <w:rFonts w:ascii="Courier New" w:hAnsi="Courier New" w:cs="Courier New"/>
    </w:rPr>
  </w:style>
  <w:style w:type="character" w:styleId="WW8Num22z2">
    <w:name w:val="WW8Num22z2"/>
    <w:rPr>
      <w:rFonts w:ascii="Wingdings" w:hAnsi="Wingdings" w:cs="Wingdings"/>
    </w:rPr>
  </w:style>
  <w:style w:type="character" w:styleId="WW8Num24z0">
    <w:name w:val="WW8Num24z0"/>
    <w:rPr>
      <w:rFonts w:ascii="Symbol" w:hAnsi="Symbol" w:cs="Symbol"/>
    </w:rPr>
  </w:style>
  <w:style w:type="character" w:styleId="WW8Num24z1">
    <w:name w:val="WW8Num24z1"/>
    <w:rPr>
      <w:rFonts w:ascii="Courier New" w:hAnsi="Courier New" w:cs="Courier New"/>
    </w:rPr>
  </w:style>
  <w:style w:type="character" w:styleId="WW8Num24z2">
    <w:name w:val="WW8Num24z2"/>
    <w:rPr>
      <w:rFonts w:ascii="Wingdings" w:hAnsi="Wingdings" w:cs="Wingdings"/>
    </w:rPr>
  </w:style>
  <w:style w:type="character" w:styleId="WW8Num26z0">
    <w:name w:val="WW8Num26z0"/>
    <w:rPr>
      <w:rFonts w:ascii="Symbol" w:hAnsi="Symbol" w:cs="Symbol"/>
    </w:rPr>
  </w:style>
  <w:style w:type="character" w:styleId="WW8Num26z1">
    <w:name w:val="WW8Num26z1"/>
    <w:rPr>
      <w:rFonts w:ascii="Courier New" w:hAnsi="Courier New" w:cs="Courier New"/>
    </w:rPr>
  </w:style>
  <w:style w:type="character" w:styleId="WW8Num26z2">
    <w:name w:val="WW8Num26z2"/>
    <w:rPr>
      <w:rFonts w:ascii="Wingdings" w:hAnsi="Wingdings" w:cs="Wingdings"/>
    </w:rPr>
  </w:style>
  <w:style w:type="character" w:styleId="WW8Num28z0">
    <w:name w:val="WW8Num28z0"/>
    <w:rPr>
      <w:rFonts w:ascii="Wingdings" w:hAnsi="Wingdings" w:cs="Wingdings"/>
    </w:rPr>
  </w:style>
  <w:style w:type="character" w:styleId="WW8Num28z1">
    <w:name w:val="WW8Num28z1"/>
    <w:rPr>
      <w:rFonts w:ascii="Courier New" w:hAnsi="Courier New" w:cs="Courier New"/>
    </w:rPr>
  </w:style>
  <w:style w:type="character" w:styleId="WW8Num28z3">
    <w:name w:val="WW8Num28z3"/>
    <w:rPr>
      <w:rFonts w:ascii="Symbol" w:hAnsi="Symbol" w:cs="Symbol"/>
    </w:rPr>
  </w:style>
  <w:style w:type="character" w:styleId="WW8Num29z0">
    <w:name w:val="WW8Num29z0"/>
    <w:rPr>
      <w:rFonts w:ascii="Symbol" w:hAnsi="Symbol" w:cs="Symbol"/>
    </w:rPr>
  </w:style>
  <w:style w:type="character" w:styleId="WW8Num29z1">
    <w:name w:val="WW8Num29z1"/>
    <w:rPr>
      <w:rFonts w:ascii="Courier New" w:hAnsi="Courier New" w:cs="Courier New"/>
    </w:rPr>
  </w:style>
  <w:style w:type="character" w:styleId="WW8Num29z2">
    <w:name w:val="WW8Num29z2"/>
    <w:rPr>
      <w:rFonts w:ascii="Wingdings" w:hAnsi="Wingdings" w:cs="Wingdings"/>
    </w:rPr>
  </w:style>
  <w:style w:type="character" w:styleId="WW8Num30z0">
    <w:name w:val="WW8Num30z0"/>
    <w:rPr>
      <w:rFonts w:ascii="Symbol" w:hAnsi="Symbol" w:cs="Symbol"/>
    </w:rPr>
  </w:style>
  <w:style w:type="character" w:styleId="WW8Num30z1">
    <w:name w:val="WW8Num30z1"/>
    <w:rPr>
      <w:rFonts w:ascii="Courier New" w:hAnsi="Courier New" w:cs="Courier New"/>
    </w:rPr>
  </w:style>
  <w:style w:type="character" w:styleId="WW8Num30z2">
    <w:name w:val="WW8Num30z2"/>
    <w:rPr>
      <w:rFonts w:ascii="Wingdings" w:hAnsi="Wingdings" w:cs="Wingdings"/>
    </w:rPr>
  </w:style>
  <w:style w:type="character" w:styleId="WW8Num31z0">
    <w:name w:val="WW8Num31z0"/>
    <w:rPr>
      <w:b/>
    </w:rPr>
  </w:style>
  <w:style w:type="character" w:styleId="WW8Num32z0">
    <w:name w:val="WW8Num32z0"/>
    <w:rPr>
      <w:rFonts w:ascii="Times New Roman" w:hAnsi="Times New Roman" w:cs="Times New Roman"/>
      <w:b/>
      <w:sz w:val="24"/>
    </w:rPr>
  </w:style>
  <w:style w:type="character" w:styleId="WW8Num33z0">
    <w:name w:val="WW8Num33z0"/>
    <w:rPr>
      <w:rFonts w:ascii="Arial" w:hAnsi="Arial" w:eastAsia="Times New Roman" w:cs="Arial"/>
      <w:b/>
    </w:rPr>
  </w:style>
  <w:style w:type="character" w:styleId="WW8Num34z0">
    <w:name w:val="WW8Num34z0"/>
    <w:rPr>
      <w:b/>
    </w:rPr>
  </w:style>
  <w:style w:type="character" w:styleId="WW8Num35z0">
    <w:name w:val="WW8Num35z0"/>
    <w:rPr>
      <w:rFonts w:ascii="Symbol" w:hAnsi="Symbol" w:cs="Symbol"/>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6z0">
    <w:name w:val="WW8Num36z0"/>
    <w:rPr>
      <w:rFonts w:ascii="Symbol" w:hAnsi="Symbol" w:cs="Symbol"/>
    </w:rPr>
  </w:style>
  <w:style w:type="character" w:styleId="WW8Num36z1">
    <w:name w:val="WW8Num36z1"/>
    <w:rPr>
      <w:rFonts w:ascii="Courier New" w:hAnsi="Courier New" w:cs="Courier New"/>
    </w:rPr>
  </w:style>
  <w:style w:type="character" w:styleId="WW8Num36z2">
    <w:name w:val="WW8Num36z2"/>
    <w:rPr>
      <w:rFonts w:ascii="Wingdings" w:hAnsi="Wingdings" w:cs="Wingdings"/>
    </w:rPr>
  </w:style>
  <w:style w:type="character" w:styleId="DefaultParagraphFont">
    <w:name w:val="Default Paragraph Font"/>
    <w:rPr/>
  </w:style>
  <w:style w:type="character" w:styleId="tpa1">
    <w:name w:val="tpa1"/>
    <w:basedOn w:val="DefaultParagraphFont"/>
    <w:rPr/>
  </w:style>
  <w:style w:type="character" w:styleId="ax1">
    <w:name w:val="ax1"/>
    <w:rPr>
      <w:b/>
      <w:bCs/>
      <w:sz w:val="26"/>
      <w:szCs w:val="26"/>
    </w:rPr>
  </w:style>
  <w:style w:type="character" w:styleId="tax1">
    <w:name w:val="tax1"/>
    <w:rPr>
      <w:b/>
      <w:bCs/>
      <w:sz w:val="26"/>
      <w:szCs w:val="26"/>
    </w:rPr>
  </w:style>
  <w:style w:type="character" w:styleId="PageNumber">
    <w:name w:val="page number"/>
    <w:basedOn w:val="DefaultParagraphFont"/>
    <w:rPr/>
  </w:style>
  <w:style w:type="character" w:styleId="ar1">
    <w:name w:val="ar1"/>
    <w:rPr>
      <w:b/>
      <w:bCs/>
      <w:sz w:val="22"/>
      <w:szCs w:val="22"/>
    </w:rPr>
  </w:style>
  <w:style w:type="character" w:styleId="Hyperlink">
    <w:name w:val="Hyperlink"/>
    <w:rPr>
      <w:b/>
      <w:bCs/>
      <w:u w:val="single"/>
    </w:rPr>
  </w:style>
  <w:style w:type="character" w:styleId="pt1">
    <w:name w:val="pt1"/>
    <w:rPr>
      <w:b/>
      <w:bCs/>
    </w:rPr>
  </w:style>
  <w:style w:type="character" w:styleId="tpt1">
    <w:name w:val="tpt1"/>
    <w:basedOn w:val="DefaultParagraphFont"/>
    <w:rPr/>
  </w:style>
  <w:style w:type="character" w:styleId="al1">
    <w:name w:val="al1"/>
    <w:rPr>
      <w:b/>
      <w:bCs/>
    </w:rPr>
  </w:style>
  <w:style w:type="character" w:styleId="tal1">
    <w:name w:val="tal1"/>
    <w:basedOn w:val="DefaultParagraphFont"/>
    <w:rPr/>
  </w:style>
  <w:style w:type="character" w:styleId="sp1">
    <w:name w:val="sp1"/>
    <w:rPr>
      <w:b/>
      <w:bCs/>
    </w:rPr>
  </w:style>
  <w:style w:type="character" w:styleId="FooterChar">
    <w:name w:val="Footer Char"/>
    <w:rPr>
      <w:sz w:val="24"/>
      <w:szCs w:val="24"/>
    </w:rPr>
  </w:style>
  <w:style w:type="character" w:styleId="BodyText3Char">
    <w:name w:val="Body Text 3 Char"/>
    <w:rPr>
      <w:b/>
      <w:bCs/>
      <w:sz w:val="24"/>
      <w:szCs w:val="24"/>
      <w:lang w:val="en-GB"/>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Cs w:val="20"/>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Subtitle">
    <w:name w:val="Subtitle"/>
    <w:basedOn w:val="Normal"/>
    <w:next w:val="BodyText"/>
    <w:pPr>
      <w:jc w:val="center"/>
      <w:outlineLvl w:val="0"/>
    </w:pPr>
    <w:rPr>
      <w:rFonts w:ascii="Eurostyle;Arial Narrow" w:hAnsi="Eurostyle;Arial Narrow" w:cs="Eurostyle;Arial Narrow"/>
      <w:b/>
      <w:sz w:val="32"/>
      <w:szCs w:val="20"/>
    </w:rPr>
  </w:style>
  <w:style w:type="paragraph" w:styleId="BodyText3">
    <w:name w:val="Body Text 3"/>
    <w:basedOn w:val="Normal"/>
    <w:pPr>
      <w:tabs>
        <w:tab w:val="clear" w:pos="720"/>
        <w:tab w:val="left" w:pos="5103" w:leader="none"/>
      </w:tabs>
    </w:pPr>
    <w:rPr>
      <w:b/>
      <w:bCs/>
      <w:lang w:val="en-GB"/>
    </w:rPr>
  </w:style>
  <w:style w:type="paragraph" w:styleId="BodyText2">
    <w:name w:val="Body Text 2"/>
    <w:basedOn w:val="Normal"/>
    <w:pPr>
      <w:spacing w:lineRule="auto" w:line="480" w:before="0" w:after="120"/>
    </w:pPr>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odyTextIndent">
    <w:name w:val="Body Text Indent"/>
    <w:basedOn w:val="Normal"/>
    <w:pPr>
      <w:spacing w:before="0" w:after="120"/>
      <w:ind w:hanging="0" w:left="360" w:right="0"/>
    </w:pPr>
    <w:rPr/>
  </w:style>
  <w:style w:type="paragraph" w:styleId="NormalWeb">
    <w:name w:val="Normal (Web)"/>
    <w:basedOn w:val="Normal"/>
    <w:pPr>
      <w:spacing w:before="280" w:after="280"/>
    </w:pPr>
    <w:rPr/>
  </w:style>
  <w:style w:type="paragraph" w:styleId="BlockText">
    <w:name w:val="Block Text"/>
    <w:basedOn w:val="Normal"/>
    <w:pPr>
      <w:ind w:hanging="0" w:left="1260" w:right="-900"/>
    </w:pPr>
    <w:rPr>
      <w:b/>
      <w:bCs/>
      <w:sz w:val="20"/>
      <w:szCs w:val="20"/>
      <w:lang w:val="ro-RO"/>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11</Pages>
  <Words>3102</Words>
  <Characters>20527</Characters>
  <CharactersWithSpaces>23120</CharactersWithSpaces>
  <Paragraphs>428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2026-01-26T09:11:00Z</dcterms:created>
  <dc:creator>protectiam.tim1</dc:creator>
  <dc:description/>
  <dc:language>en-US</dc:language>
  <cp:lastModifiedBy/>
  <cp:lastPrinted>2018-06-18T16:15:00Z</cp:lastPrinted>
  <dcterms:modified xsi:type="dcterms:W3CDTF">2026-09-24T22:45:17Z</dcterms:modified>
  <cp:revision>8</cp:revision>
  <dc:subject/>
  <dc:title>ANEXA Nr</dc:title>
</cp:coreProperties>
</file>

<file path=docProps/custom.xml><?xml version="1.0" encoding="utf-8"?>
<Properties xmlns="http://schemas.openxmlformats.org/officeDocument/2006/custom-properties" xmlns:vt="http://schemas.openxmlformats.org/officeDocument/2006/docPropsVTypes"/>
</file>