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lucrătorii desemnați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Material de instruire în domeniul securității și sănătății în muncă pentru instruirea introductiv – 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Instrucțiuni proprii privind instruirea lucrătorilor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angajare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periodic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Document justificativ de control, privind verificarea tematică la locurile de muncă, informare deficiențe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Regulament intern privind controlul propriu privind respectarea prevederilor legale, a dispozițiilor, instrucțiunilor și reglementărilor interne în domeniul securității și sănătății în muncă (cod M.I.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îmbolnăvire profesională pentru locurile de muncă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7, alin. 3) Angajatorul are obligația să implementeze măsurile prevăzute de Legea 319/ 2006 pe baza următoarelor principii generale de prevenire: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2"/>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5) Fără a aduce atingere altor prevederi ale prezentei legi, atunci când în același loc de muncă își desfășoară activitatea lucrători din mai multe întreprinderi și/sau unități, angajatorii acestora au următoarele obligații: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și/sau reprezentanții acestora despre riscurile profesionale.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6) Măsurile privind securitatea, sănătatea și igiena în muncă nu trebuie să comporte în nicio situație obligații financiare pentru lucrători.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(1) lit. a) - c);</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lucrătorii desemnați, 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cazul în care serviciile interne de prevenire și protecție nu au capacitățile și aptitudinile necesare pentru efectuarea tuturor activităților de prevenire și protecție prevăzute la art. 15,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R</w:t>
      </w:r>
      <w:r>
        <w:rPr>
          <w:rStyle w:val="tal1"/>
          <w:rFonts w:eastAsia="Arial" w:cs="Arial" w:ascii="Arial" w:hAnsi="Arial"/>
          <w:b/>
          <w:color w:val="auto"/>
          <w:spacing w:val="0"/>
          <w:w w:val="100"/>
          <w:sz w:val="20"/>
          <w:szCs w:val="20"/>
          <w:lang w:val="ro-RO"/>
        </w:rPr>
        <w:t xml:space="preserve">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pa1"/>
          <w:rFonts w:eastAsia="Arial" w:cs="Arial" w:ascii="Arial" w:hAnsi="Arial"/>
          <w:b/>
          <w:color w:val="auto"/>
          <w:spacing w:val="0"/>
          <w:w w:val="100"/>
          <w:sz w:val="20"/>
          <w:szCs w:val="20"/>
          <w:lang w:val="ro-RO"/>
        </w:rPr>
        <w:t>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Style w:val="spar"/>
          <w:rFonts w:eastAsia="Arial" w:cs="Arial" w:ascii="Arial" w:hAnsi="Arial"/>
          <w:b/>
          <w:color w:val="auto"/>
          <w:spacing w:val="0"/>
          <w:w w:val="100"/>
          <w:sz w:val="20"/>
          <w:szCs w:val="20"/>
          <w:shd w:fill="FFFFFF" w:val="clear"/>
          <w:lang w:val="ro-RO"/>
        </w:rPr>
        <w:t>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w:t>
      </w:r>
      <w:r>
        <w:rPr>
          <w:rStyle w:val="tpt1"/>
          <w:rFonts w:eastAsia="Arial" w:cs="Arial" w:ascii="Arial" w:hAnsi="Arial"/>
          <w:b/>
          <w:color w:val="auto"/>
          <w:spacing w:val="0"/>
          <w:w w:val="100"/>
          <w:sz w:val="20"/>
          <w:szCs w:val="20"/>
          <w:lang w:val="ro-RO"/>
        </w:rPr>
        <w:t>Instrucțiuni proprii în domeniul securității și sănătății în muncă pentru locurile de muncă</w:t>
      </w:r>
      <w:r>
        <w:rPr>
          <w:rFonts w:eastAsia="Arial" w:cs="Arial" w:ascii="Arial" w:hAnsi="Arial"/>
          <w:b w:val="false"/>
          <w:color w:val="auto"/>
          <w:spacing w:val="0"/>
          <w:w w:val="100"/>
          <w:sz w:val="20"/>
          <w:szCs w:val="20"/>
          <w:lang w:val="ro-RO"/>
        </w:rPr>
        <w:t xml:space="preserve"> »,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al1"/>
          <w:rFonts w:eastAsia="Arial" w:cs="Arial" w:ascii="Arial" w:hAnsi="Arial"/>
          <w:b/>
          <w:color w:val="auto"/>
          <w:spacing w:val="0"/>
          <w:w w:val="100"/>
          <w:sz w:val="20"/>
          <w:szCs w:val="20"/>
          <w:lang w:val="ro-RO"/>
        </w:rPr>
        <w:t>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D</w:t>
      </w:r>
      <w:r>
        <w:rPr>
          <w:rStyle w:val="spar"/>
          <w:rFonts w:eastAsia="Arial" w:cs="Arial" w:ascii="Arial" w:hAnsi="Arial"/>
          <w:b/>
          <w:color w:val="auto"/>
          <w:spacing w:val="0"/>
          <w:w w:val="100"/>
          <w:sz w:val="20"/>
          <w:szCs w:val="20"/>
          <w:shd w:fill="FFFFFF" w:val="clear"/>
          <w:lang w:val="ro-RO"/>
        </w:rPr>
        <w:t>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periodică suplimentară se va efectua pe baza tematicilor </w:t>
      </w:r>
      <w:r>
        <w:rPr>
          <w:rStyle w:val="tal1"/>
          <w:rFonts w:eastAsia="Arial" w:cs="Arial" w:ascii="Arial" w:hAnsi="Arial"/>
          <w:b/>
          <w:color w:val="auto"/>
          <w:spacing w:val="0"/>
          <w:w w:val="100"/>
          <w:sz w:val="20"/>
          <w:szCs w:val="20"/>
          <w:lang w:val="ro-RO"/>
        </w:rPr>
        <w:t>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durată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document</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în scopul realizării obiectivelor prevăzute la art. 3, lit. a) și c) din prezenta anexă,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(peste 30 °C)</w:t>
      </w:r>
      <w:r>
        <w:rPr>
          <w:rFonts w:eastAsia="Arial" w:cs="Arial" w:ascii="Arial" w:hAnsi="Arial"/>
          <w:bCs/>
          <w:color w:val="auto"/>
          <w:spacing w:val="0"/>
          <w:w w:val="100"/>
          <w:sz w:val="20"/>
          <w:szCs w:val="20"/>
          <w:lang w:val="ro-RO"/>
        </w:rPr>
        <w:t xml:space="preserve">, în funcție de posibilități, aer condiționat sau ventilație. În cazul în care acest lucru nu este posibil se va asigura un litru de apă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și/sau mame, lăuze sau care alăptează conform OUG nr. 96/2003 privind protecția maternității la locurile de muncă conform prevederilor capitolului 12.</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Lucrătorii care efectuează instruirea trebuie să fie specialiști în securitate și sănătate în muncă și să aibă terminate cursurile de securitatea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de securitate și sănătate a muncii se efectuează de lucrătorul cu atribuții în domeniul securității muncii sau de serviciul extern de prevenire și protecție.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legislația de sănătate și securitate în muncă;</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efectuează de lucrătorul cu atribuții în domeniul securității muncii sau de serviciul extern de prevenire și protecție.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b/>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Cadrul tehnic PSI - SU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litera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un exemplar la Departamentul Resurse umane și un exemplar la Departamentul SSM-SU-PM;</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keepNext/>
        <w:widowControl/>
        <w:numPr>
          <w:ilvl w:val="0"/>
          <w:numId w:val="7"/>
        </w:numPr>
        <w:spacing w:before="0" w:after="40"/>
        <w:jc w:val="left"/>
        <w:rPr>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Fiecărui reprezentant al lucrătorilor în comitetele de securitate și sănătate în muncă i se va acorda timpul necesar exercitării atribuțiilor specifice în domeniul securității și sănătății în muncă.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va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Salariatele prevăzute la Art. 54 lit. a, b, c, din prezentul regulament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În termen de 10 zile lucrătoare de la data la care angajatorul a fost anunțat în scris de către o salariată că se află în una dintre situațiile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acesta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să prevină expunerea salariatelor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la riscuri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w:t>
      </w:r>
      <w:r>
        <w:rPr>
          <w:rStyle w:val="tal1"/>
          <w:rFonts w:eastAsia="Arial" w:cs="Arial" w:ascii="Arial" w:hAnsi="Arial"/>
          <w:color w:val="auto"/>
          <w:spacing w:val="0"/>
          <w:w w:val="100"/>
          <w:sz w:val="20"/>
          <w:szCs w:val="20"/>
          <w:lang w:val="ro-RO"/>
        </w:rPr>
        <w:t>își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să transfere la un alt loc de muncă, cu menținerea salariului de bază brut lunar, salariatele prevăzute la Art.</w:t>
      </w:r>
      <w:r>
        <w:rPr>
          <w:rStyle w:val="tli1"/>
          <w:rFonts w:eastAsia="Arial" w:cs="Arial" w:ascii="Arial" w:hAnsi="Arial"/>
          <w:color w:val="auto"/>
          <w:spacing w:val="0"/>
          <w:w w:val="100"/>
          <w:sz w:val="20"/>
          <w:szCs w:val="20"/>
          <w:lang w:val="ro-RO"/>
        </w:rPr>
        <w:t xml:space="preserve"> 54 lit. a, b, c, </w:t>
      </w:r>
      <w:r>
        <w:rPr>
          <w:rStyle w:val="tal1"/>
          <w:rFonts w:eastAsia="Arial" w:cs="Arial" w:ascii="Arial" w:hAnsi="Arial"/>
          <w:color w:val="auto"/>
          <w:spacing w:val="0"/>
          <w:w w:val="100"/>
          <w:sz w:val="20"/>
          <w:szCs w:val="20"/>
          <w:lang w:val="ro-RO"/>
        </w:rPr>
        <w:t>care desfășoară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desfășoară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să modifice în mod corespunzător condițiile și/ sau orarul de muncă ori, să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În cazul în care angajatorul, din motive justificate în mod obiectiv, nu poate să îndeplinească obligația prevăzută la Art. 60, salariatele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au dreptul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