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prezența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cunoștințelor pe parcursul unui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furtună și fulgere sau în cazul în care se părăsește domiciliu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climă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deconectăm cablul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bășici ce conține un lichid serocitriu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microscopică față de plăgi sau preexistenței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Această celulă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termovulneranți pot acționa prin contact direct, provocând arsura cutanată sau indirect (mediat) prin aerul atmosferic, apărând arsuri patologice și insolație (sindrom de supraîncălzire; secundar arsurii cutanate). În afară de aceste cauze se mai descriu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și în al doilea rând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vindecă în timp mai scurt sau mai lung, se vindecă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constantă-temperatura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manevră care se face la locul accidentului, în cazul în care diagnosticăm o fractură, este de a imobiliza manual zona lezată, cu ambele mâini introduse simultan de-o parte și de altă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subiacentă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Gâtul se examinează prin inspecție și palpare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curăță cavitatea bucală și nasul de corpi străini, resturi de mâncare sau mase vomitive, nisip. Dacă căile respiratorii sunt libere, iar respirația lipsește, se începe respirația artificială prin metoda „gură-în-gură” sau „gură-în-nas”.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umplerii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greață, vomă, necoordonarea mișcărilor, dereglări ușoare de conștiință,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mână sau picior. Țesuturile edematiate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explozie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antena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la 55% din cauza comportamentului incorect al victimelor, acțiunilor inconștiente, condiționate de frică,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umedă cu soluție de clorură de var 2-5% sau înălbitor, lenjeria și vesela se fierbe timp de 15-20 minute în soluție de sodă sau muiate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