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ANEXĂ LA REGULAMENTUL INTERN</w:t>
      </w:r>
    </w:p>
    <w:p>
      <w:pPr>
        <w:pStyle w:val="Normal"/>
        <w:keepNext w:val="false"/>
        <w:bidi w:val="0"/>
        <w:spacing w:before="0" w:after="24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privind semnarea electronică a fișelor de instruire</w:t>
      </w:r>
    </w:p>
    <w:p>
      <w:pPr>
        <w:pStyle w:val="Normal"/>
        <w:keepNext/>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Prezenta anexă la regulamentul intern al {{client.legalName}} stabilește modul de semnare electronică a fișelor de instruire, în temeiul: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art. 81 alin. (3¹)–(3³) din H.G. 1425/2006;</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art. 16 alin. (1¹)–(1⁸) din Legea 53/2003 – Codul muncii;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art. 17 alin. (3) lit. o) din Legea 53/2003;</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art. 4 din Legea 214/2024 privind utilizarea semnăturii electronice;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art. 26 din Regulamentul (UE) nr. 910/2014 (eIDAS).</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 semnează electronic fișele individuale de instruire în domeniul securității și sănătății în muncă (anexa nr. 11 la H.G. 1425/2006) și fișele individuale de instructaj în domeniul situațiilor de urgență (OMAI 712/2005), rând cu rând, pentru fiecare instruire consemnată, de lucrătorul instruit, de cel care a efectuat instruirea și de cel care a verificat-o, iar rubrica „Admis la lucru”, de cel care l-a admis la lucru. Alte documente se semnează electronic numai după ce sunt adăugate în prezenta anexă.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Fișele se semnează cu semnătură electronică avansată în sensul art. 26 din Regulamentul (UE) nr. 910/2014, fără certificat calificat, creată în platforma pusă la dispoziție de {{provider.legalName}}, prestatorul de servicii de securitate și sănătate în muncă al angajatorului. Semnătura identifică în mod unic semnatarul, se creează numai cu un cod aflat sub controlul său exclusiv și este legată de fișă astfel încât orice modificare ulterioară poate fi detectată.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Fiecare semnatar semnează din contul său personal, deschis pe adresa de e-mail sau pe numărul de telefon mobil comunicat angajatorului (ori prestatorului, pentru personalul acestuia). La fiecare semnare, platforma trimite acolo un cod de unică folosință, iar semnătura se creează numai după introducerea codului, pentru documentele afișate la cererea codului. Se înregistrează numele și funcția semnatarului, momentul semnării, adresa sau numărul unde s-a trimis codul și conținutul semnat.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Cererea de semnare se transmite după consemnarea instruirii în platformă, iar semnatarii semnează de pe telefon sau de pe calculator. Un rând semnat al fișei nu mai poate fi modificat: o greșeală se corectează prin anularea rândului, care rămâne pe fișă cu mențiunea „anulat”, și prin consemnarea instruirii pe rândul următor, care se semnează din nou.</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Fișa semnată electronic se păstrează în platformă de la angajare până la încetarea raportului de muncă (art. 81 alin. (5) din H.G. 1425/2006), poate fi descărcată oricând de angajator, cu semnăturile verificabile, și se pune la dispoziția organelor de control în format electronic, fără a fi tipărită (art. 16 alin. (1⁸) din Legea 53/2003). Arhivarea se face potrivit Legii 16/1996 și Legii 135/2007.</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nu poate fi obligat să semneze electronic (art. 16 alin. (1⁶) din Legea 53/2003); cel care nu optează pentru semnătura electronică semnează olograf fișa tipărită. Opțiunea salariatului și procedura de semnare se consemnează în contractul individual de muncă, la angajare, sau printr-un act adițional la acesta (art. 81 alin. (3²) din H.G. 1425/2006).</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Anexa produce efecte față de salariat de la luarea la cunoștință (art. 243 din Legea 53/2003).</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Angajator</w:t>
            </w:r>
          </w:p>
          <w:p>
            <w:pPr>
              <w:pStyle w:val="TableContents"/>
              <w:keepNext w:val="false"/>
              <w:bidi w:val="0"/>
              <w:spacing w:before="6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Întocmit</w:t>
            </w:r>
          </w:p>
          <w:p>
            <w:pPr>
              <w:pStyle w:val="TableContents"/>
              <w:keepNext w:val="false"/>
              <w:bidi w:val="0"/>
              <w:spacing w:before="6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{{specialist.name}}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{{specialist.professionalTitle}}, {{provider.legalName}}</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1</Pages>
  <Words>406</Words>
  <Characters>3931</Characters>
  <CharactersWithSpaces>4178</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2026-10-17T23:08:07Z</dcterms:modified>
  <cp:revision>1</cp:revision>
  <dc:subject/>
  <dc:title/>
</cp:coreProperties>
</file>