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tbl>
      <w:tblPr>
        <w:tblW w:w="5000" w:type="pct"/>
        <w:jc w:val="left"/>
        <w:tblInd w:w="55" w:type="dxa"/>
        <w:tblLayout w:type="fixed"/>
        <w:tblCellMar>
          <w:top w:w="55" w:type="dxa"/>
          <w:left w:w="55" w:type="dxa"/>
          <w:bottom w:w="55" w:type="dxa"/>
          <w:right w:w="55" w:type="dxa"/>
        </w:tblCellMar>
      </w:tblPr>
      <w:tblGrid>
        <w:gridCol w:w="654"/>
        <w:gridCol w:w="1217"/>
        <w:gridCol w:w="7484"/>
      </w:tblGrid>
      <w:tr>
        <w:trPr>
          <w:tblHeader w:val="true"/>
        </w:trPr>
        <w:tc>
          <w:tcPr>
            <w:tcW w:w="654"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1217"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capitol</w:t>
            </w:r>
          </w:p>
        </w:tc>
        <w:tc>
          <w:tcPr>
            <w:tcW w:w="7484"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DENUMIRE CAPITOL</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Cuprins</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2.</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Informații generale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3.</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angajatorului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4.</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Obligațiile și drepturile angajaților în domeniul securității și sănătății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5.</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Organizarea activităților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6.</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Supravegherea sănătății lucrătorilor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7.</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Cerințele minime de securitate și sănătate pentru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8.</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Acordarea E.I.P. și acordarea materialelor igienico-sanitare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9.</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VIII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Semnalizarea</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10.</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IX</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Prezentarea factorilor de risc de accidentare și îmbolnăvire profesională în sistemul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11.</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Comunicarea, cercetarea, înregistrarea și raportarea evenimentelor. Accidente de muncă și boli profesionale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12.</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Protecția maternității la locul de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13.</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Informarea, consultarea, instruirea și participarea lucrătorilor privind activitățile de prevenire și protecție</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14.</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Consecințele posibile ale necunoașterii și nerespectării legislației de securitate și sănătate în muncă</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15.</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XIV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Măsuri de acordare a primului ajutor la nivelul unității</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16.</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Măsuri de prevenire și stingere a incendiilor și evacuarea lucrătorilor</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17.</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Prevederi legate de circulația pe drumurile publice a vehiculelor, pietonilor și a celorlalte categorii de participanți la trafic.</w:t>
            </w:r>
          </w:p>
        </w:tc>
      </w:tr>
      <w:tr>
        <w:trPr/>
        <w:tc>
          <w:tcPr>
            <w:tcW w:w="654"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18.</w:t>
            </w:r>
          </w:p>
        </w:tc>
        <w:tc>
          <w:tcPr>
            <w:tcW w:w="1217"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XVII</w:t>
            </w:r>
          </w:p>
        </w:tc>
        <w:tc>
          <w:tcPr>
            <w:tcW w:w="7484"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Riscurile de accidentare și îmbolnăvire profesională specifice unității</w:t>
            </w:r>
          </w:p>
        </w:tc>
      </w:tr>
    </w:tbl>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existentei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au ca scop </w:t>
      </w:r>
      <w:r>
        <w:rPr>
          <w:rStyle w:val="tpa1"/>
          <w:rFonts w:eastAsia="Arial" w:cs="Arial" w:ascii="Arial" w:hAnsi="Arial"/>
          <w:i/>
          <w:color w:val="auto"/>
          <w:spacing w:val="0"/>
          <w:w w:val="100"/>
          <w:sz w:val="20"/>
          <w:szCs w:val="20"/>
          <w:lang w:val="ro-RO"/>
        </w:rPr>
        <w:t xml:space="preserve">informarea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108 – 133, 171 – 178, 182 – 186;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Legea 346/ 2002, Art. 1 – 7, 15, 19, 23 – 25, 27, 30 – 50, 106, 110, 111;</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1687/ 2004</w:t>
      </w:r>
      <w:r>
        <w:rPr>
          <w:rFonts w:eastAsia="Arial" w:cs="Arial" w:ascii="Arial" w:hAnsi="Arial"/>
          <w:bCs/>
          <w:i/>
          <w:color w:val="auto"/>
          <w:spacing w:val="0"/>
          <w:w w:val="100"/>
          <w:sz w:val="20"/>
          <w:szCs w:val="20"/>
          <w:lang w:val="ro-RO"/>
        </w:rPr>
        <w:t>, Art. 25, 26;</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H.G. 1425/ 2006 respectiv a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w:t>
      </w:r>
      <w:r>
        <w:rPr>
          <w:rFonts w:eastAsia="Arial" w:cs="Arial" w:ascii="Arial" w:hAnsi="Arial"/>
          <w:bCs/>
          <w:i/>
          <w:color w:val="auto"/>
          <w:spacing w:val="0"/>
          <w:w w:val="100"/>
          <w:sz w:val="20"/>
          <w:szCs w:val="20"/>
          <w:lang w:val="ro-RO"/>
        </w:rPr>
        <w:t xml:space="preserve"> 319/2016.</w:t>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259/2022 - pentru modificarea și completarea Normelor metodologice de aplicare a prevederilor Legii securității și sănătății în muncă nr. 319/2006.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 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3)</w:t>
      </w:r>
      <w:r>
        <w:rPr>
          <w:rFonts w:eastAsia="Arial" w:cs="Arial" w:ascii="Arial" w:hAnsi="Arial"/>
          <w:color w:val="auto"/>
          <w:spacing w:val="0"/>
          <w:w w:val="100"/>
          <w:sz w:val="20"/>
          <w:szCs w:val="20"/>
          <w:lang w:val="ro-RO"/>
        </w:rPr>
        <w:t xml:space="preserve"> Legea securității și sănătății în muncă se aplică în toate sectoarele de activitate, publice și private, angajatorilor, lucrătorilor și celorlalți participanți la procesul de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forma scrisă și pentru care se poate face dovada prevederilor contractuale și a prestațiilor efectuate prin orice alt mijloc de proba;</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persoana data dispărută sau accidentul de traseu ori de circulație, în condițiile în care au fost implicate persoane angajate, incidentul periculos, precum și cazul susceptibil de boala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violenta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boala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unealta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practica -</w:t>
      </w:r>
      <w:r>
        <w:rPr>
          <w:rFonts w:eastAsia="Arial" w:cs="Arial" w:ascii="Arial" w:hAnsi="Arial"/>
          <w:color w:val="auto"/>
          <w:spacing w:val="0"/>
          <w:w w:val="100"/>
          <w:sz w:val="20"/>
          <w:szCs w:val="20"/>
          <w:lang w:val="ro-RO"/>
        </w:rPr>
        <w:t xml:space="preserve"> instruirea cu caracter aplicativ, specifica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afară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consecința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boala legată de profesiune -</w:t>
      </w:r>
      <w:r>
        <w:rPr>
          <w:rFonts w:eastAsia="Arial" w:cs="Arial" w:ascii="Arial" w:hAnsi="Arial"/>
          <w:color w:val="auto"/>
          <w:spacing w:val="0"/>
          <w:w w:val="100"/>
          <w:sz w:val="20"/>
          <w:szCs w:val="20"/>
          <w:lang w:val="ro-RO"/>
        </w:rPr>
        <w:t xml:space="preserve"> boala cu determinare multifactorială, la care unii factori determinanți sunt de natura profesională.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afară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afară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bookmarkStart w:id="23" w:name="do|caI|ar2|pt20"/>
      <w:bookmarkEnd w:id="23"/>
      <w:r>
        <w:rPr>
          <w:rFonts w:eastAsia="Arial" w:cs="Arial" w:ascii="Arial" w:hAnsi="Arial"/>
          <w:i/>
          <w:color w:val="auto"/>
          <w:spacing w:val="0"/>
          <w:w w:val="100"/>
          <w:sz w:val="20"/>
          <w:szCs w:val="20"/>
          <w:u w:val="none"/>
          <w:lang w:val="ro-RO"/>
        </w:rPr>
        <w:t>raportare a bolilor profesionale -</w:t>
      </w:r>
      <w:r>
        <w:rPr>
          <w:rStyle w:val="tpt1"/>
          <w:rFonts w:eastAsia="Arial" w:cs="Arial" w:ascii="Arial" w:hAnsi="Arial"/>
          <w:color w:val="auto"/>
          <w:spacing w:val="0"/>
          <w:w w:val="100"/>
          <w:sz w:val="20"/>
          <w:szCs w:val="20"/>
          <w:lang w:val="ro-RO"/>
        </w:rPr>
        <w:t xml:space="preserve"> procedură prin care se transmit informații referitoare la bolile profesionale declarate potrivit legii la Centrul național de coordonare metodologică și informare privind bolile profesionale și la Centrul Național pentru Organizarea și Asigurarea Sistemului Informațional și Informatic în Domeniul Sănătății București.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baza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executant-sarcina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 fie se semnalizează prezenta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reglementari în domeniul securității muncii, ale căror prevederi sunt valabile numai pentru activitățile desfășurate în cadrul unei unități; elaborarea lor de către unități (prin efort propriu sau colaborare cu instituțiile specializate) este obligatoriu atunci când normele metodologice sau hotărârile de guvern nu acoperă totalitatea activitățile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integranta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inerenta a unei substanțe, agent, surse de energie sau situa-ție cu potențial de a cauza evenimente nedorite(accidente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competența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competența - </w:t>
      </w:r>
      <w:r>
        <w:rPr>
          <w:rFonts w:eastAsia="Arial" w:cs="Arial" w:ascii="Arial" w:hAnsi="Arial"/>
          <w:color w:val="auto"/>
          <w:spacing w:val="0"/>
          <w:w w:val="100"/>
          <w:sz w:val="20"/>
          <w:szCs w:val="20"/>
          <w:lang w:val="ro-RO"/>
        </w:rPr>
        <w:t>o persoană care poseda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expusa - </w:t>
      </w:r>
      <w:r>
        <w:rPr>
          <w:rFonts w:eastAsia="Arial" w:cs="Arial" w:ascii="Arial" w:hAnsi="Arial"/>
          <w:color w:val="auto"/>
          <w:spacing w:val="0"/>
          <w:w w:val="100"/>
          <w:sz w:val="20"/>
          <w:szCs w:val="20"/>
          <w:lang w:val="ro-RO"/>
        </w:rPr>
        <w:t>o persoană care se află în întregime sau parțial într-o zona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intrinseca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mijloacele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obstacol(fizic) între pericol și persoana expusa;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expusa uneia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zona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zona situată în interiorul sau în jurul echipamentului de muncă în care o persoană este expusa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6)</w:t>
      </w:r>
      <w:r>
        <w:rPr>
          <w:rFonts w:eastAsia="Arial" w:cs="Arial" w:ascii="Arial" w:hAnsi="Arial"/>
          <w:color w:val="auto"/>
          <w:spacing w:val="0"/>
          <w:w w:val="100"/>
          <w:sz w:val="20"/>
          <w:szCs w:val="20"/>
          <w:lang w:val="ro-RO"/>
        </w:rPr>
        <w:t xml:space="preserve"> Angajatorul are obligația de a asigura securitate și sănătatea lucrătorilor în toate aspectele legate de muncă iar în cazul în care angajatorul apelează la servicii externe și/ sau la lucrători desemnați cu atribuții în domeniul securității și sănătății în muncă, acesta nu este exonerat de responsabilitățile sale în acest domeniu. Obligațiile lucrătorilor și a celorlalți participanți la procesul de muncă în domeniul securității și sănătății în muncă nu aduc atingere principiului responsabilității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de alegerea echipamentelor, de condițiile și mediul de muncă;</w:t>
      </w:r>
    </w:p>
    <w:p>
      <w:pPr>
        <w:pStyle w:val="Normal"/>
        <w:widowControl/>
        <w:spacing w:before="0" w:after="40"/>
        <w:ind w:left="36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zona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afară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zona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ca,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dovada de neglijența gravă.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competența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să asigure funcționarea permanenta și corectă a sistemelor și dispozitivelor de protecție, a aparaturii de măsura și control, precum și a instalațiilor de captare, reținere și neutralizare a substanțelor nocive degajate în</w:t>
      </w:r>
    </w:p>
    <w:p>
      <w:pPr>
        <w:pStyle w:val="Normal"/>
        <w:widowControl/>
        <w:spacing w:before="0" w:after="40"/>
        <w:ind w:left="360"/>
        <w:jc w:val="left"/>
        <w:rPr>
          <w:rFonts w:ascii="Arial" w:hAnsi="Arial" w:cs="Arial"/>
          <w:sz w:val="18"/>
          <w:szCs w:val="18"/>
          <w:lang w:val="it-IT"/>
        </w:rPr>
      </w:pP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comunice imediat angajatorului și/ sau lucrătorilor desemnați orice situație de muncă despre care au motive întemeiate să o considere un pericol pentru securitatea și sănătatea lucrătorilor, precum și orice deficiența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ca mediul de muncă și condițiile de lucru sunt sigure și fără riscuri pentru securitate și sănătate, în domeniul sau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22,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 serviciu intern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înființarea unuia sau mai multor servicii interne de prevenire și protecție</w:t>
      </w:r>
      <w:r>
        <w:rPr>
          <w:rStyle w:val="tli1"/>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Servicii de prevenire și protecție – Art. 9)</w:t>
      </w:r>
      <w:r>
        <w:rPr>
          <w:rStyle w:val="tal1"/>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microintreprinderilor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sub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atesta printr-un document de absolvire a programului de pregătire.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 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capitol se completează cu dispozițiile legii speciale, ale contractelor colective de muncă aplicabile, precum și cu normele și normativele de protecție a muncii.</w:t>
      </w:r>
    </w:p>
    <w:p>
      <w:pPr>
        <w:pStyle w:val="Normal"/>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173, alin. (1) din legea 53/ 2003 se va tine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consulta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176,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medicina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medicina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medicina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medicina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184)</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este un salariat, atestat în profesia să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a muncii este independent în exercitarea profesiei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medicina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medicina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medicina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medicina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medicina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promovarea sănătății la locul de muncă.</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(prevazută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reprezintă incapacitatea medicală permanentă a lucrătorului de a desfășura activitatea la locul de muncă în profesia/ funcția pentru care se solicită examenul medical privind aptitudinea în muncă.</w:t>
      </w:r>
    </w:p>
    <w:p>
      <w:pPr>
        <w:pStyle w:val="Normal"/>
        <w:widowControl/>
        <w:spacing w:before="0" w:after="120"/>
        <w:ind w:hanging="0"/>
        <w:jc w:val="left"/>
        <w:rPr>
          <w:rFonts w:ascii="Arial" w:hAnsi="Arial" w:cs="Arial"/>
          <w:sz w:val="18"/>
          <w:szCs w:val="18"/>
          <w:lang w:val="de-DE"/>
        </w:rPr>
      </w:pPr>
      <w:bookmarkStart w:id="91" w:name="do|caIII|ar12|al2"/>
      <w:bookmarkEnd w:id="91"/>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Toate cazurile de inaptitudine medicală permanentă vor fi rezolvate de către medicii de medicina muncii în colaborare cu medicii de expertiza capacității de muncă, care se vor informa reciproc asupra rezolvării situației de fapt.</w:t>
      </w:r>
    </w:p>
    <w:p>
      <w:pPr>
        <w:pStyle w:val="Normal"/>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Frecvența examenului medical periodic este stabilită prin fișele întocmite conform modelului prevăzut în anexa nr. 1din H.G. 355/ 2007 și poate fi modificată numai la propunerea medicului specialist de medicina muncii, cu informarea angajatorului.</w:t>
      </w:r>
    </w:p>
    <w:p>
      <w:pPr>
        <w:pStyle w:val="Normal"/>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 </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lang w:val="ro-RO"/>
        </w:rPr>
        <w:t>1din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37)</w:t>
      </w:r>
      <w:r>
        <w:rPr>
          <w:rFonts w:eastAsia="Arial" w:cs="Arial" w:ascii="Arial" w:hAnsi="Arial"/>
          <w:color w:val="auto"/>
          <w:spacing w:val="0"/>
          <w:w w:val="100"/>
          <w:sz w:val="20"/>
          <w:szCs w:val="20"/>
          <w:lang w:val="ro-RO"/>
        </w:rPr>
        <w:t xml:space="preserve"> </w:t>
      </w:r>
      <w:bookmarkStart w:id="147" w:name="do|caIV|ar37|pa1"/>
      <w:bookmarkEnd w:id="147"/>
      <w:r>
        <w:rPr>
          <w:rFonts w:eastAsia="Arial" w:cs="Arial" w:ascii="Arial" w:hAnsi="Arial"/>
          <w:color w:val="auto"/>
          <w:spacing w:val="0"/>
          <w:w w:val="100"/>
          <w:sz w:val="20"/>
          <w:szCs w:val="20"/>
          <w:u w:val="none"/>
          <w:lang w:val="ro-RO"/>
        </w:rPr>
        <w:t>Dosarul medical și fișa de expunere la riscuri profesionale se păstrează la structura de medicina muncii unde s-au efectuat examenele medicale de angajare și examenul medical periodic.</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Lucrătorul este obligat să se prezinte la examenele medicale de supraveghere a sănătății la locul de muncă, conform planificării efectuate de către medicul de medicina muncii</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La schimbarea locului de muncă în altă unitate, lucrătorului i se vor înmâna, la solicitare, copii ale dosarului său medical și ale fișei de expunere la riscuri profesionale, pentru a fi predate</w:t>
      </w:r>
    </w:p>
    <w:p>
      <w:pPr>
        <w:pStyle w:val="Normal"/>
        <w:widowControl/>
        <w:spacing w:before="0" w:after="120"/>
        <w:ind w:hanging="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la structura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 care va preda la rândul ei înregistrările medicale autorității de sănătate publică județene sau a municipiului București, după caz.</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 care: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tru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afară întreprinderii și/sau unității sau locurilor de muncă din interiorul mijloacelor de transport;</w:t>
      </w:r>
      <w:bookmarkStart w:id="161" w:name="do|caI|ar2|lib"/>
    </w:p>
    <w:p>
      <w:pPr>
        <w:pStyle w:val="Normal"/>
        <w:keepNext w:val="tru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tru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tru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tru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afară ariei clădirilor întreprinderii.</w:t>
      </w:r>
      <w:bookmarkStart w:id="165" w:name="do|caI|ar3"/>
      <w:bookmarkStart w:id="166" w:name="do|caI|ar4"/>
      <w:bookmarkEnd w:id="165"/>
      <w:bookmarkEnd w:id="166"/>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tru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tru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tru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tru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tru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tru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 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tru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tru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tru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tru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tru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tru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angajatului cel puțin pentru perioade scurte de timp (de exemplu, scaune, bănci).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Echipamentele tehnice, mesele și bancurile de lucru trebuie să asigure spațiu suficient pentru sprijinirea comoda și stabilă a membrelor inferioare în timpul activității, cu posibilitatea mișcării acestora.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optima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suficiente;</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numai mai mare de angajați decât cel prevăzut, impun acest lucru, lucrătorilor trebuie să li se pună la dispoziție încăperi pentru odihnă ușor accesibile sau zone pentru odihni corespunzătoare; această prevedere nu se aplică dacă lucrătorii sun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sănătate sau de decență, nu li se poate cere să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Echipamente de prim ajutor:</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(12) </w:t>
      </w:r>
      <w:r>
        <w:rPr>
          <w:rFonts w:eastAsia="Arial" w:cs="Arial" w:ascii="Arial" w:hAnsi="Arial"/>
          <w:color w:val="auto"/>
          <w:spacing w:val="0"/>
          <w:w w:val="100"/>
          <w:sz w:val="20"/>
          <w:szCs w:val="20"/>
          <w:lang w:val="ro-RO"/>
        </w:rPr>
        <w:t>Locuri de muncă în aer liber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(13) </w:t>
      </w:r>
      <w:r>
        <w:rPr>
          <w:rFonts w:eastAsia="Arial" w:cs="Arial" w:ascii="Arial" w:hAnsi="Arial"/>
          <w:color w:val="auto"/>
          <w:spacing w:val="0"/>
          <w:w w:val="100"/>
          <w:sz w:val="20"/>
          <w:szCs w:val="20"/>
          <w:lang w:val="ro-RO"/>
        </w:rPr>
        <w:t>Principii ergonomice:</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[ºC] sau, corelate cu condiții de umiditate mare, pot fi echivalate cu acest nivel;</w:t>
      </w:r>
    </w:p>
    <w:p>
      <w:pPr>
        <w:pStyle w:val="Heading1"/>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[ºC] sau, corelate cu condiții de vânt intens, pot fi echivalate cu acest nivel.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persoana/ schimb;</w:t>
      </w:r>
    </w:p>
    <w:p>
      <w:pPr>
        <w:pStyle w:val="Heading1"/>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persoana/ schimb;</w:t>
      </w:r>
    </w:p>
    <w:p>
      <w:pPr>
        <w:pStyle w:val="Heading1"/>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tru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3)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tru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tru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tru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tru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tru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tru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tru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tru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tru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tru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tru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tru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tru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tru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tru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tru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tru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tru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tru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tru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tru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tru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tru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tru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tru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tru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tru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tru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tru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Ațele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val="true"/>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tru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tru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tru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tru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tru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tru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 și e);</w:t>
      </w:r>
    </w:p>
    <w:p>
      <w:pPr>
        <w:pStyle w:val="Normal"/>
        <w:keepNext w:val="tru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tru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tru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tru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tru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tru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tru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tru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tru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tru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tru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tru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tru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tru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tru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tru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tru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tru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tru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tru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tru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tru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tblHeader w:val="true"/>
          <w:trHeight w:val="1649"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STINGEREA CU APA</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INTERZIS VEHICULELOR DE MANIPULAT MARFA</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APA NEPOTABILĂ</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INTRODUCE MANA</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INTERZIS UTILIZAREA DE MÂNUI</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URCAREA PE TRANSPALETA</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ATINGEREA CABLURILOR</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tc>
      </w:tr>
      <w:tr>
        <w:trPr>
          <w:trHeight w:val="165" w:hRule="atLeast"/>
        </w:trPr>
        <w:tc>
          <w:tcPr>
            <w:tcW w:w="180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CĂLCAREA</w:t>
            </w:r>
          </w:p>
        </w:tc>
        <w:tc>
          <w:tcPr>
            <w:tcW w:w="185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tblHeader w:val="true"/>
          <w:trHeight w:val="146" w:hRule="atLeast"/>
        </w:trPr>
        <w:tc>
          <w:tcPr>
            <w:tcW w:w="305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tc>
        <w:tc>
          <w:tcPr>
            <w:tcW w:w="316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tc>
        <w:tc>
          <w:tcPr>
            <w:tcW w:w="313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tc>
      </w:tr>
      <w:tr>
        <w:trPr>
          <w:trHeight w:val="146" w:hRule="atLeast"/>
        </w:trPr>
        <w:tc>
          <w:tcPr>
            <w:tcW w:w="30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PULVERIZAREA CU APA INTERZISĂ</w:t>
            </w:r>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tblHeader w:val="true"/>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trHeight w:val="147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tc>
      </w:tr>
      <w:tr>
        <w:trPr>
          <w:trHeight w:val="165"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trHeight w:val="142"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tc>
      </w:tr>
      <w:tr>
        <w:trPr>
          <w:trHeight w:val="142"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ARC ELECTROMAGNETIC</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tblHeader w:val="true"/>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APA POTABILĂ</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tc>
      </w:tr>
      <w:tr>
        <w:trPr>
          <w:trHeight w:val="134"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tc>
      </w:tr>
      <w:tr>
        <w:trPr>
          <w:trHeight w:val="168" w:hRule="atLeast"/>
        </w:trPr>
        <w:tc>
          <w:tcPr>
            <w:tcW w:w="180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tblHeader w:val="true"/>
          <w:trHeight w:val="160" w:hRule="atLeast"/>
        </w:trPr>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tc>
        <w:tc>
          <w:tcPr>
            <w:tcW w:w="158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tc>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tc>
        <w:tc>
          <w:tcPr>
            <w:tcW w:w="158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tc>
        <w:tc>
          <w:tcPr>
            <w:tcW w:w="14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tc>
      </w:tr>
      <w:tr>
        <w:trPr>
          <w:trHeight w:val="160" w:hRule="atLeast"/>
        </w:trPr>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BRANCARDA</w:t>
            </w:r>
          </w:p>
        </w:tc>
        <w:tc>
          <w:tcPr>
            <w:tcW w:w="146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DUS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tblHeader w:val="true"/>
          <w:trHeight w:val="1053" w:hRule="atLeast"/>
        </w:trPr>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tc>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tc>
        <w:tc>
          <w:tcPr>
            <w:tcW w:w="31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tc>
      </w:tr>
      <w:tr>
        <w:trPr>
          <w:trHeight w:val="173" w:hRule="atLeast"/>
        </w:trPr>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tblHeader w:val="true"/>
          <w:trHeight w:val="1036" w:hRule="atLeast"/>
        </w:trPr>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tc>
      </w:tr>
      <w:tr>
        <w:trPr>
          <w:trHeight w:val="170" w:hRule="atLeast"/>
        </w:trPr>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tblHeader w:val="true"/>
          <w:trHeight w:val="170" w:hRule="atLeast"/>
        </w:trPr>
        <w:tc>
          <w:tcPr>
            <w:tcW w:w="1943"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tc>
        <w:tc>
          <w:tcPr>
            <w:tcW w:w="201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tc>
        <w:tc>
          <w:tcPr>
            <w:tcW w:w="198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tc>
        <w:tc>
          <w:tcPr>
            <w:tcW w:w="17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tc>
        <w:tc>
          <w:tcPr>
            <w:tcW w:w="168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tc>
      </w:tr>
      <w:tr>
        <w:trPr>
          <w:trHeight w:val="170" w:hRule="atLeast"/>
        </w:trPr>
        <w:tc>
          <w:tcPr>
            <w:tcW w:w="194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tblHeader w:val="true"/>
          <w:trHeight w:val="156" w:hRule="atLeast"/>
        </w:trPr>
        <w:tc>
          <w:tcPr>
            <w:tcW w:w="3056"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tc>
        <w:tc>
          <w:tcPr>
            <w:tcW w:w="31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tc>
        <w:tc>
          <w:tcPr>
            <w:tcW w:w="312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tc>
      </w:tr>
      <w:tr>
        <w:trPr>
          <w:trHeight w:val="156" w:hRule="atLeast"/>
        </w:trPr>
        <w:tc>
          <w:tcPr>
            <w:tcW w:w="305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OBSERVAȚII: </w:t>
      </w:r>
      <w:r>
        <w:rPr>
          <w:rFonts w:eastAsia="Arial" w:cs="Arial" w:ascii="Arial" w:hAnsi="Arial"/>
          <w:color w:val="auto"/>
          <w:spacing w:val="0"/>
          <w:w w:val="100"/>
          <w:sz w:val="20"/>
          <w:szCs w:val="20"/>
          <w:lang w:val="ro-RO"/>
        </w:rPr>
        <w:t>Acest capitol se va completa, după caz cu prescripțiile minime privind semnalele luminoase, semnalele acustice, comunicarea verbală, gesturile semnal.</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blHeader w:val="true"/>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w:t>
            </w:r>
          </w:p>
        </w:tc>
        <w:tc>
          <w:tcPr>
            <w:tcW w:w="729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coordonate,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ÎNAPOI</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DREAPTA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STÂNGA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natură și caracteristicile sarcinilor de muncă de specificul mediului de muncă (inclusiv mediul psiho-social), de interacțiunea operator-echipament tehnic și de relațiile interumane, să corespund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muncă depusa;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odihna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ramura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în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natura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privinta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retina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evidența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atesta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108) </w:t>
      </w:r>
      <w:r>
        <w:rPr>
          <w:rFonts w:eastAsia="Arial" w:cs="Arial" w:ascii="Arial" w:hAnsi="Arial"/>
          <w:b w:val="false"/>
          <w:color w:val="auto"/>
          <w:spacing w:val="0"/>
          <w:w w:val="100"/>
          <w:sz w:val="20"/>
          <w:szCs w:val="20"/>
          <w:lang w:val="ro-RO"/>
        </w:rPr>
        <w:t>Timpul de muncă reprezintă timpul pe care salariatul îl folosește pentru îndeplinirea sarcinilor de muncă.</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109)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norma întreaga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vârsta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uniforma,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referința de 3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(2^1)</w:t>
      </w:r>
      <w:r>
        <w:rPr>
          <w:rFonts w:eastAsia="Arial" w:cs="Arial" w:ascii="Arial" w:hAnsi="Arial"/>
          <w:color w:val="auto"/>
          <w:spacing w:val="0"/>
          <w:w w:val="100"/>
          <w:sz w:val="20"/>
          <w:szCs w:val="20"/>
          <w:lang w:val="ro-RO"/>
        </w:rPr>
        <w:t xml:space="preserve"> Pentru anumite sectoare de activitate, unități sau profesii stabilite prin contractul colectiv de muncă unic la nivel național, se pot negocia, prin contractul colectiv de muncă la nivel de ramura de activitate aplicabil, perioade de referința mai mari de 3 luni, dar care să nu depășească 12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(2^2)</w:t>
      </w:r>
      <w:r>
        <w:rPr>
          <w:rFonts w:eastAsia="Arial" w:cs="Arial" w:ascii="Arial" w:hAnsi="Arial"/>
          <w:color w:val="auto"/>
          <w:spacing w:val="0"/>
          <w:w w:val="100"/>
          <w:sz w:val="20"/>
          <w:szCs w:val="20"/>
          <w:lang w:val="ro-RO"/>
        </w:rPr>
        <w:t xml:space="preserve"> La stabilirea perioadelor de referința prevăzute la alin. (2) și (2^1) nu se iau în calcul durata concediului de odihna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Prevederile alin. (1), (2) și (2^1)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absenta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poate stabili programe individualizate de muncă, cu acordul sau la solicitarea salariatului în cauză, dacă aceasta posibilitate este prevăzută în contractele colective de muncă aplicabile la nivelul angajatorului sau, în absenta acestora, în regulamentele interne.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fixa în care personalul se află simultan la locul de muncă și o perioadă variabilă, mobila,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109 și 111 din Legea 53/ 2003.</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b w:val="false"/>
          <w:color w:val="auto"/>
          <w:spacing w:val="0"/>
          <w:w w:val="100"/>
          <w:sz w:val="20"/>
          <w:szCs w:val="20"/>
          <w:lang w:val="ro-RO"/>
        </w:rPr>
        <w:t>Angajatorul are obligația de a tine evidența orelor de muncă prestate de fiecare salariat și de a supune controlului inspecției muncii aceasta evidență ori de câte ori este solicitat.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afară duratei normale a timpului de muncă săptămânal, prevăzută la art. 109</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munca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forta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munca suplimentară, cu respectarea prevederilor art. 111 sau 112,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111 sau 112 din Legea 53/ 2003, după caz, este interzisă, cu excepția cazului de forta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119) </w:t>
      </w:r>
      <w:r>
        <w:rPr>
          <w:rFonts w:eastAsia="Arial" w:cs="Arial" w:ascii="Arial" w:hAnsi="Arial"/>
          <w:b w:val="false"/>
          <w:color w:val="auto"/>
          <w:spacing w:val="0"/>
          <w:w w:val="100"/>
          <w:sz w:val="20"/>
          <w:szCs w:val="20"/>
          <w:lang w:val="ro-RO"/>
        </w:rPr>
        <w:t>(1) Munca suplimentară se compensează prin ore libere plătite în următoarele 30 de zile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119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baza.</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b w:val="false"/>
          <w:color w:val="auto"/>
          <w:spacing w:val="0"/>
          <w:w w:val="100"/>
          <w:sz w:val="20"/>
          <w:szCs w:val="20"/>
          <w:lang w:val="ro-RO"/>
        </w:rPr>
        <w:t>Ținerii în vârsta de până la 18 ani nu pot presta munca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munca de noapte.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normală a muncii de noapte nu va depăși 8 ore într-o perioadă de 24 de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123) </w:t>
      </w:r>
      <w:r>
        <w:rPr>
          <w:rFonts w:eastAsia="Arial" w:cs="Arial" w:ascii="Arial" w:hAnsi="Arial"/>
          <w:b w:val="false"/>
          <w:color w:val="auto"/>
          <w:spacing w:val="0"/>
          <w:w w:val="100"/>
          <w:sz w:val="20"/>
          <w:szCs w:val="20"/>
          <w:lang w:val="ro-RO"/>
        </w:rPr>
        <w:t>Salariații care efectuează cel puțin 3 ore de muncă de noapte beneficiază fie de program de lucru redus cu o ora față de durata normală a zilei de muncă, fără ca aceasta să ducă la scăderea salariului de baza, fie de un spor la salariu de minimum 15% din salariul de baza pentru fiecare ora de muncă de noapte prestată.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(Preluare din Legea 53/ 2003, Cap.: Munca de noapte - Art. 124)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Salariații care urmează să desfășoare cel puțin 3 ore de muncă de noapte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și solidarității sociale și al ministrului sănătății și familiei.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munca de noapte și au probleme de sănătate recunoscute ca având legătura cu aceasta vor fi trecuți la o munca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Ținerii care nu au împlinit vârsta de 18 ani nu pot presta munca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Femeile gravide, lăuzele și cele care alăptează nu pot fi obligate să presteze munca de noapte.</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126) </w:t>
      </w:r>
      <w:r>
        <w:rPr>
          <w:rFonts w:eastAsia="Arial" w:cs="Arial" w:ascii="Arial" w:hAnsi="Arial"/>
          <w:b w:val="false"/>
          <w:color w:val="auto"/>
          <w:spacing w:val="0"/>
          <w:w w:val="100"/>
          <w:sz w:val="20"/>
          <w:szCs w:val="20"/>
          <w:lang w:val="ro-RO"/>
        </w:rPr>
        <w:t>Norma de muncă exprima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127) </w:t>
      </w:r>
      <w:r>
        <w:rPr>
          <w:rFonts w:eastAsia="Arial" w:cs="Arial" w:ascii="Arial" w:hAnsi="Arial"/>
          <w:b w:val="false"/>
          <w:color w:val="auto"/>
          <w:spacing w:val="0"/>
          <w:w w:val="100"/>
          <w:sz w:val="20"/>
          <w:szCs w:val="20"/>
          <w:lang w:val="ro-RO"/>
        </w:rPr>
        <w:t>Norma de muncă se exprima, în funcție de caracteristicile procesului de producție sau de alte activități ce se normează, sub forma de norme de timp, norme de producție, norme de personal, sfera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128)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Normele de muncă se elaborează de către angajator, conform normativelor în vigoare, sau, în cazul în care nu există normative, normele de muncă se elaborează de către angajator cu acordul sindicatului ori, după caz, al reprezentanților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În cazul unui dezacord cu privire la normele de muncă, părțile vor apela la arbitrajul unui terț ales de comun acord.</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situația în care normele de muncă nu mai corespund condițiilor tehnice în care au fost adoptate sau nu asigură un grad complet de ocupare a timpului normal de muncă, acestea vor fi supuse unei reexaminări.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Procedura de reexaminare, precum și situațiile concrete în care poate interveni se stabilesc prin contractul colectiv de muncă aplicabil sau prin regulamentul intern.</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masa și repauzul zilnic - Art. 130)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pauza de masa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Ținerii în vârsta de până la 18 ani beneficiază de o pauză de masa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masa și repauzul zilnic - Art. 131)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Repausul săptămânal se acordă în două zile consecutive, de regula sambata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sambata și duminica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132,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15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132,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Pauza de masa și repauzul zilnic - Art. 133)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120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w:t>
      </w:r>
    </w:p>
    <w:p>
      <w:pPr>
        <w:pStyle w:val="Heading2"/>
        <w:widowControl/>
        <w:tabs>
          <w:tab w:val="clear" w:pos="504"/>
        </w:tabs>
        <w:spacing w:before="0" w:after="120"/>
        <w:ind w:hanging="0" w:left="0"/>
        <w:jc w:val="left"/>
        <w:rPr>
          <w:rFonts w:ascii="Arial" w:hAnsi="Arial" w:cs="Arial"/>
          <w:sz w:val="18"/>
          <w:szCs w:val="18"/>
          <w:lang w:val="it-CH"/>
        </w:rPr>
      </w:pPr>
      <w:r>
        <w:rPr>
          <w:rFonts w:eastAsia="Arial" w:cs="Arial" w:ascii="Arial" w:hAnsi="Arial"/>
          <w:color w:val="auto"/>
          <w:spacing w:val="0"/>
          <w:w w:val="100"/>
          <w:sz w:val="20"/>
          <w:szCs w:val="20"/>
          <w:lang w:val="ro-RO"/>
        </w:rPr>
        <w:t>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&lt;LLNK 12002 346 10 201 0 18&gt;</w:t>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medicina a muncii aflat într-o relație contractuală cu angajatorul, conform prevederilor legale, va semnala obligatoriu suspiciunea de boala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evidența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boala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competența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vizita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țara sau în afară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salvarea de vieți omenești;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inițiativa pentru prevenirea ori înlăturarea unui pericol care ameninta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preluă sau preda uneltele de lucru, locul de muncă, utilajul ori materialele, dacă schimbă îmbrăcămintea personală, echipamentul individual de protecție sau orice alt echipament pus la dispoziție de angajator, dacă se află în baie ori în spălător sau dacă se deplasă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romani sau de persoane fizice romane, delegați pentru îndeplinirea îndatoririlor de serviciu în afară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roman care efectuează lucrări și servicii pe teritoriul altor tari, în baza unor contracte, convenții sau în alte condiții prevăzute de lege, încheiate de persoane juridice romane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furtuna,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clasifica,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Publica București, la Centrul de Calcul și Statistica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declara, se cercetează și se înregistrează atât ca boala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va fi comunicat și angajatorilor acestora de către angajatorul la care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afară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la care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comunică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modifică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comunică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comunică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expertiza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politiei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politie și a altor documente din care să rezulte ca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vor fi suportate de angajatorul la care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prevazută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evidența,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expertiza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expertiza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evidența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forta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constituirea resurselor de asigurare pentru accidente de muncă și boli profesionale din contribuții diferențiate în funcție de risc, suportate de angajatori sau de persoanele fizice care încheie asigurare, potrivit prevederilor prezentei legi;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Prin asigurarea pentru accidente de muncă și boli profesionale răspunderea civilă a persoanei fizice sau juridice pentru prestațiile prevăzute în prezenta lege și pentru care s-a plătit contribuția de asigurare este preluată de asigurator.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situația în care se face dovada unor prejudicii care nu sunt acoperite prin prevederile prezentei legi, în mod subsidiar și complementar, intra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desfășoară activități pe baza unui contract individual de muncă, indiferent de durata acestuia, precum și funcționării publici;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șomerii, pe toată durata efectuării practicii profesionale în cadrul cursurilor organizate potrivit legii;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ucenicii, elevii și studenții, pe toată durata efectuării practicii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 pot asigura în condițiile prezentei legi, pe baza de contract individual de asigurare, persoanele care se află în una sau mai multe dintre următoarele situații: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asociat unic, asociați, comanditari sau acționari;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comanditați, administratori sau manageri;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asociației familiale;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autorizate să desfășoare activități independente;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angajate în instituții internaționale;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proprietari de bunuri și/sau arendasi de suprafețe agricole și forestiere;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persoane care desfășoară activități agricole în cadrul gospodăriilor individuale sau activități private în domeniul forestier;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 ai societăților agricole sau ai altor forme de asociere din agricultura;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persoane interesate, care își desfășoară activitatea pe baza altor raporturi juridice decât cele menționate anterior.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Conținutul contractului individual de asigurare se stabilește în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Prevederile art. 5 din legea 346/ 2002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sunt aplicabile și angajaților romani care prestează munca în străinătate din dispoziția angajatorilor romani, în condițiile legii.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Au calitatea de asigurat și cetățenii străini sau apatrizii care prestează munca pentru angajatori romani, pe perioada în care au, potrivit legii, domiciliul sau resedinta în România.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bolilor profesionale, declarate în condițiile legii, în timpul activității profesionale, dreptul la prestațiile și serviciile de asigurare se menține și ulterior încetării raporturilor de muncă/ serviciu și a contractelor individuale de asigurare.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și a contractelor de asigurare, dreptul la prestațiile și serviciile de asigurare se acordă dacă fostul asigurat face dovada, cu acte medicale eliberate conform legii, ca boala a fost cauzată de factori profesionali specifici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23)</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asistența medicală de urgența la locul accidentului, în mijloacele de transport specializate și în unitățile spitalicești;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sau în unități sanitare cu personalitate juridică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dispozitive medicale în vederea corectării și recuperării deficiențelor organice, funcționale sau fizice;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investigații de specialitate și analize de laborator, necesare în vederea stabilirii caracterului de profesionalitate al bolilor.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se stabilesc prin normele metodologice de aplicare a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natură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aproba anual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să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baza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raza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asiguraților prevăzuți la art. 6, cuantumul indemnizației pentru incapacitate temporară de muncă reprezintă 80%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Cuantumul indemnizației pentru incapacitate temporară de muncă în cazul urgentelor medico-chirurgicale este de 100% din media venitului lunar asigurat din ultimele 6 luni anterioare manifestării riscului.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suporta în primele 3 zile de incapacitate de către angajator, iar din a 4-a zi de incapacitate, din contribuția de asigurare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180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curant poate propune prelungirea concediului medical peste 180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180 de zile se face pentru cel mult 90 de zile, în funcție de evoluția cazului și de rezultatele acțiunilor de recuperare, conform procedurilor stabilite de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datorată accidentelor de muncă și bolilor profesionale se acordă pe baza certificatului medical eliberat conform dispozițiilor legale.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37.</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40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41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Au dreptul la o compensație pentru atingerea integrității asigurații care, în urma accidentelor de muncă sau a bolilor profesionale, rămân cu leziuni permanente care produc deficiente și reduc capacitatea de muncă între 20 - 50%.</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suma fixa în bani și se acordă integral, o singura data,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medii brute, comunicate de Institutul Național de Statistica.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ca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48 din legea 346/ 2002.</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50)</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au fost deteriorate în urma unui accident de muncă soldat cu vătămări corporale.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CNPAS.</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106)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Contribuțiile de asigurare pentru accidente de muncă și boli profesionale, după calculare și reținere, se virează până la data de 25 inclusiv a lunii următoare celei pentru care se datorează drepturile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cazul reorganizării judiciare sau al falimentului angajatorului, sumele datorate de acesta pentru asigurare vor fi recuperate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111)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Neplata contribuției de asigurare de către asigurații prevăzuți la art. 6 la termenul stabilit atrage neacordarea drepturilor la prestații și servicii de asigurare pentru accidente de muncă și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Neplata contribuției de asigurare de către asigurații prevăzuți la art. 6</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346/ 2002, pe o perioadă de 3 luni consecutive, constituie pentru asigurator motiv de reziliere a contractului individual de asigurare.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1687/ 2004 – Art. 25)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calificare sau de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lehuzele sau femeile care alăptează, ținerii,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prezenta grupurilor sensibile la riscuri specifice.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Prezenta ordonanta de urgența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romana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resedinta în România, dacă fac parte din categoriile de salariate prevăzute la art. 1, lit. a)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tehnice, organizatorice și de protecție a muncii corespunzătoare,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gravidă este femeia care anunta în scris angajatorul asupra stării sale fiziologice de graviditate și anexează un document medical eliberat de medicul de familie sau de medicul specialist care să îi ateste aceasta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salariată care alăptează este femeia care, la reluarea activității după efectuarea concediului de lăuzie, își alăptează copilul și anunta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dispensa pentru consultații prenatale reprezintă un număr de ore libere plătite salariatei de către angajator, pe durata programului normal de lucru, pentru efectuarea consultațiilor și examenelor prenatale pe baza recomandarii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postnatal obligatoriu este concediul de 42 de zile pe care salariată mama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prevazută la art. 3, alin. (1) din O.U.G. 96/ 2003 și nu informează în scris angajatorul despre starea lor, acesta este exonerat de obligațiile sale prevăzute în prezenta ordonanta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munca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 căror lista este prevazută în anexa nr.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evalueze anual, precum și la orice modificare a condițiilor de muncă natura, gradul și durata expunerii salariatelor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scopul determinării oricărui risc pentru securitatea sau sănătatea lor și oricărei repercusiuni asupra sarcinii ori alăptării.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supuse la locurile lor de muncă, precum și asupra drepturilor care decurg din prezenta ordonanta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ca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raza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anunta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cazul în care o salariată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și desfășoară la locul de muncă o activitate care prezintă riscuri pentru sănătatea sau securitatea să ori cu repercusiuni asupra sarcinii și alăptării, în sensul celor prevăzute la art. 5 alin.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îi modifice în mod corespunzător condițiile și/ sau orarul de muncă ori, dacă nu este posibil, să o repartizeze la alt loc de muncă fără riscuri pentru sănătatea sau securitatea sa, conform recomandarii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prevazută la art. 9</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reglementărilor legale privind sistemul public de pensii și alte drepturi de asigurări sociale,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postnatal obligatoriu, salariatele prevăzute la art. 2 lit. d) și e), în cazul în care nu solicită concediul și indemnizatia pentru creșterea și îngrijirea copilului până la împlinirea vârstei de 2 ani sau, în cazul copilului cu handicap,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salariată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schimbă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recomandarii medicului de familie, salariată gravidă care nu poate îndeplini durata normală de muncă din motive de sănătate, a să sau a fătului sau,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Salariatele prevăzute la art. 2 lit. c) și e) din O.U.G. 96/ 2003 nu pot fi obligate de către angajator să realizeze activități pentru care evaluarea a evidențiat riscul de expunere la agenți sau condiții de muncă prevăzute la lit. A și B din anexa nr.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dispensa pentru consultații prenatale în limita a maximum 16 ore pe luna,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la art. 2 lit. g) din O.U.G. 96/ 2003 și în cadrul concediului pentru lăuzie stabilit prin </w:t>
      </w:r>
      <w:r>
        <w:rPr>
          <w:rFonts w:eastAsia="Arial" w:cs="Arial" w:ascii="Arial" w:hAnsi="Arial"/>
          <w:b w:val="false"/>
          <w:i/>
          <w:vanish/>
          <w:color w:val="auto"/>
          <w:spacing w:val="0"/>
          <w:w w:val="100"/>
          <w:sz w:val="20"/>
          <w:szCs w:val="20"/>
          <w:lang w:val="ro-RO"/>
        </w:rPr>
        <w:t>&lt;LLNK 12000 19 10 201 0 17&gt;</w:t>
      </w:r>
      <w:r>
        <w:rPr>
          <w:rFonts w:eastAsia="Arial" w:cs="Arial" w:ascii="Arial" w:hAnsi="Arial"/>
          <w:b w:val="false"/>
          <w:i/>
          <w:color w:val="auto"/>
          <w:spacing w:val="0"/>
          <w:w w:val="100"/>
          <w:sz w:val="20"/>
          <w:szCs w:val="20"/>
          <w:lang w:val="ro-RO"/>
        </w:rPr>
        <w:t>Legea nr. 19/ 2000</w:t>
      </w:r>
      <w:r>
        <w:rPr>
          <w:rFonts w:eastAsia="Arial" w:cs="Arial" w:ascii="Arial" w:hAnsi="Arial"/>
          <w:b w:val="false"/>
          <w:color w:val="auto"/>
          <w:spacing w:val="0"/>
          <w:w w:val="100"/>
          <w:sz w:val="20"/>
          <w:szCs w:val="20"/>
          <w:lang w:val="ro-RO"/>
        </w:rPr>
        <w:t xml:space="preserve"> privind sistemul public de pensii și alte drepturi de asigurări sociale,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ora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sau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igiena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munca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muncă de noapte, angajatorul este obligat ca, pe baza solicitării scrise a salariatei, să o transfere la un loc de muncă de zi, cu menținerea salariului de baza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muncă de noapte.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salariată va beneficia de concediul și indemnizatia de risc maternal, conform art. 10 și 11.</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vârsta de până la 2 ani sau, în cazul copilului cu handicap, în vârsta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vârsta de până la 7 ani sau, în cazul copilului cu handicap, în vârsta de până la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prevazută la art. 21, alin. (1) lit. b) din O.U.G. 96/ 2003 se extinde, o singura data,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sau a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1)</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susceptibile să prezinte un risc specific de expunere, la care se face referire în art. 5 din O.U.G. 96/ 2003: Agenți fizici, considerați ca agenți cauzali pentru leziuni ale fetusului și/sau dezlipirea de placenta,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ambiante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oboseala mentală, fizica,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la care se face referire în art. 14 din O.U.G. 96/ 2003:</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atmosfera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ca salariată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consulta lucrătorii și/ sau reprezentanții lor și permit participarea acestora la discutarea tuturor problemelor referitoare la securitatea și sănătatea în muncă.</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 /sau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măsura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ca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suficiența și adecvată în domeniul securității și sănătății în muncă, în special sub forma de informații și instrucțiuni de lucru, specifice locului de muncă și postului sau: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ca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afară întreprinderii și/sau unității.</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(1)</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(2)</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Heading1"/>
        <w:widowControl/>
        <w:numPr>
          <w:ilvl w:val="0"/>
          <w:numId w:val="0"/>
        </w:numPr>
        <w:spacing w:before="0" w:after="120"/>
        <w:ind w:hanging="0" w:left="0"/>
        <w:jc w:val="left"/>
        <w:rPr>
          <w:rStyle w:val="tli1"/>
          <w:b w:val="false"/>
          <w:bCs w:val="false"/>
          <w:sz w:val="18"/>
          <w:szCs w:val="18"/>
          <w:lang w:val="it-IT"/>
        </w:rPr>
      </w:pP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shd w:fill="FFFFFF" w:val="clear"/>
          <w:lang w:val="ro-RO"/>
        </w:rPr>
        <w:t>( Preluare din HG 767/2016 – Art. II, pct.1 ) Art. 80^1.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Completarea fișei de instruire individuală se va face cu pix cu pastă sau cu stilou,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 </w:t>
      </w:r>
      <w:r>
        <w:rPr>
          <w:rStyle w:val="tal1"/>
          <w:rFonts w:eastAsia="Arial" w:cs="Arial" w:ascii="Arial" w:hAnsi="Arial"/>
          <w:b w:val="false"/>
          <w:color w:val="auto"/>
          <w:spacing w:val="0"/>
          <w:w w:val="100"/>
          <w:sz w:val="20"/>
          <w:szCs w:val="20"/>
          <w:lang w:val="ro-RO"/>
        </w:rPr>
        <w:t>Fișa de instruire individuală va fi păstrată de către conducătorul locului de muncă și va fi Însoțită de o copie a fișei de aptitudini, completată de către medicul de medicina muncii în urma examenului medical la angajare.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sau prin regulamentul de organizare și funcționare, durata instruirii și reguli privind instruirea și însoțirea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baza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prevăzută la art. 82, alin. (1) și (2) </w:t>
      </w:r>
      <w:r>
        <w:rPr>
          <w:rFonts w:eastAsia="Arial" w:cs="Arial" w:ascii="Arial" w:hAnsi="Arial"/>
          <w:i/>
          <w:color w:val="auto"/>
          <w:spacing w:val="0"/>
          <w:w w:val="100"/>
          <w:sz w:val="20"/>
          <w:szCs w:val="20"/>
          <w:lang w:val="ro-RO"/>
        </w:rPr>
        <w:t xml:space="preserve">din H.G. 1425/ 2006 </w:t>
      </w:r>
      <w:r>
        <w:rPr>
          <w:rStyle w:val="tal1"/>
          <w:rFonts w:eastAsia="Arial" w:cs="Arial" w:ascii="Arial" w:hAnsi="Arial"/>
          <w:color w:val="auto"/>
          <w:spacing w:val="0"/>
          <w:w w:val="100"/>
          <w:sz w:val="20"/>
          <w:szCs w:val="20"/>
          <w:lang w:val="ro-RO"/>
        </w:rPr>
        <w:t>se consemnează în fișa de instruire colectivă, conform modelului prezentat în anexa nr. 12</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bookmarkStart w:id="394" w:name="do|caV|si1|ar82|al4"/>
      <w:bookmarkEnd w:id="394"/>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colectivă se întocmește în două exemplare, din care un exemplar se va păstra de către angajator/lucrător desemnat/serviciu intern de prevenire și protecție care a efectuat instruirea și un exemplar se păstrează de către angajatorul lucrătorilor instruiți sau, în cazul vizitatorilor, de către conducătorul grupului.</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Persoanele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409" w:name="do|caV|si2|ar89|al2"/>
      <w:bookmarkEnd w:id="409"/>
      <w:r>
        <w:rPr>
          <w:rFonts w:eastAsia="Arial" w:cs="Arial" w:ascii="Arial" w:hAnsi="Arial"/>
          <w:b w:val="false"/>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Rezultatul verificării va fi consemnat în fișa de instruire.</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Normal"/>
        <w:widowControl/>
        <w:spacing w:before="0" w:after="120"/>
        <w:ind w:hanging="0"/>
        <w:jc w:val="left"/>
        <w:rPr>
          <w:rFonts w:ascii="Arial" w:hAnsi="Arial" w:cs="Arial"/>
          <w:sz w:val="18"/>
          <w:szCs w:val="18"/>
          <w:lang w:val="fr-FR"/>
        </w:rPr>
      </w:pPr>
      <w:bookmarkStart w:id="414" w:name="do|caV|si3|ar91|al2"/>
      <w:bookmarkEnd w:id="414"/>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Fișa de instruire se păstrează de către conducătorul locului de muncă.</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ListParagraph"/>
        <w:widowControl/>
        <w:numPr>
          <w:ilvl w:val="0"/>
          <w:numId w:val="0"/>
        </w:numPr>
        <w:spacing w:before="0" w:after="60"/>
        <w:ind w:hanging="0" w:left="0"/>
        <w:contextualSpacing/>
        <w:jc w:val="left"/>
        <w:rPr>
          <w:rStyle w:val="tli1"/>
          <w:rFonts w:ascii="Arial" w:hAnsi="Arial" w:cs="Arial"/>
          <w:bCs/>
          <w:sz w:val="18"/>
          <w:szCs w:val="18"/>
          <w:lang w:val="ro-RO"/>
        </w:rPr>
      </w:pP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(Preluare din H.G. 1425/ 2006 – Instruirea lucrătorilor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Începerea efectivă a activității la postul de lucru de către lucrătorul instruit se face numai după verificarea cunoștințelor de câte șeful ierarhic superior celui care a făcut instruirea și se consemnează în fișa de instruire individuală.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Cs w:val="false"/>
          <w:color w:val="auto"/>
          <w:spacing w:val="0"/>
          <w:w w:val="100"/>
          <w:sz w:val="20"/>
          <w:szCs w:val="20"/>
          <w:lang w:val="ro-RO"/>
        </w:rPr>
        <w:t>{{cli</w:t>
      </w:r>
      <w:r>
        <w:rPr>
          <w:rFonts w:eastAsia="Arial" w:cs="Arial" w:ascii="Arial" w:hAnsi="Arial"/>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enunta: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intrinseca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consecința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ergonomica a locurilor de muncă, pentru creșterea nivelului de pregătire a lucrărilor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importantei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 .</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u w:val="single"/>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 .</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arata ca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cunoștința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baza cel puțin o cerinta legală iar majoritatea cerințelor legale au prevăzute contravenții sau chiar pedeapsa cu pușcăria cuprinsa între 1 (unu) și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amenda. Fapta săvârșită din culpa se pedepsește cu închisoare de la 3 luni la un an sau cu amenda.</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amenda iar pentru informații mai exacte privind răspunderea juridică se va consulta Legea 319/ 2006 - Capitolul </w:t>
      </w:r>
      <w:r>
        <w:rPr>
          <w:rFonts w:eastAsia="Arial" w:cs="Arial" w:ascii="Arial" w:hAnsi="Arial"/>
          <w:bCs/>
          <w:i/>
          <w:color w:val="auto"/>
          <w:spacing w:val="0"/>
          <w:w w:val="100"/>
          <w:sz w:val="20"/>
          <w:szCs w:val="20"/>
          <w:lang w:val="ro-RO"/>
        </w:rPr>
        <w:t>VIII, « Art. 37 – 43</w:t>
      </w:r>
      <w:r>
        <w:rPr>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u w:val="single"/>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egală măsură, la producerea unui accident sau a unei îmbolnăviri profesionale, trebuiesc luate în considerație și elementele concrete și indiscutabile ce nu pot da naștere la nici 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u w:val="single"/>
          <w:lang w:val="ro-RO"/>
        </w:rPr>
        <w:t>Costul indirect implică</w:t>
      </w:r>
      <w:r>
        <w:rPr>
          <w:rFonts w:eastAsia="Arial" w:cs="Arial" w:ascii="Arial" w:hAnsi="Arial"/>
          <w:color w:val="auto"/>
          <w:spacing w:val="0"/>
          <w:w w:val="100"/>
          <w:sz w:val="20"/>
          <w:szCs w:val="20"/>
          <w:lang w:val="ro-RO"/>
        </w:rPr>
        <w:t>:</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De asemenea, la estimarea costului indirect trebuiesc incluse și unele costuri incalculabile suportate de victimă constând în:</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u w:val="single"/>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u w:val="single"/>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u w:val="single"/>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u w:val="single"/>
          <w:lang w:val="ro-RO"/>
        </w:rPr>
        <w:t>Creșterea eficienței munci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u w:val="single"/>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u w:val="single"/>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u w:val="single"/>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u w:val="single"/>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single"/>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u w:val="single"/>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persoanele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473"/>
        <w:gridCol w:w="6882"/>
      </w:tblGrid>
      <w:tr>
        <w:trPr>
          <w:tblHeader w:val="true"/>
          <w:trHeight w:val="1248" w:hRule="atLeast"/>
          <w:cantSplit/>
        </w:trPr>
        <w:tc>
          <w:tcPr>
            <w:tcW w:w="2473"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90" w:leader="none"/>
              </w:tabs>
              <w:spacing w:before="0" w:after="0"/>
              <w:rPr>
                <w:rFonts w:ascii="Arial" w:hAnsi="Arial" w:cs="Arial"/>
                <w:sz w:val="18"/>
                <w:szCs w:val="18"/>
                <w:lang w:val="da-DK"/>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tc>
        <w:tc>
          <w:tcPr>
            <w:tcW w:w="688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0"/>
              <w:rPr>
                <w:rFonts w:ascii="Arial" w:hAnsi="Arial" w:cs="Arial"/>
                <w:bCs/>
                <w:sz w:val="18"/>
                <w:szCs w:val="18"/>
                <w:lang w:val="da-DK"/>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0"/>
              <w:jc w:val="left"/>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0"/>
              <w:jc w:val="left"/>
              <w:rPr>
                <w:rFonts w:ascii="Arial" w:hAnsi="Arial" w:cs="Arial"/>
                <w:bCs/>
                <w:sz w:val="18"/>
                <w:szCs w:val="18"/>
                <w:lang w:val="da-DK"/>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tc>
      </w:tr>
    </w:tbl>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u w:val="single"/>
          <w:lang w:val="ro-RO"/>
        </w:rPr>
        <w:t xml:space="preserve">Având în vedere prevederile de mai sus, </w:t>
      </w:r>
      <w:r>
        <w:rPr>
          <w:rStyle w:val="tpa1"/>
          <w:rFonts w:eastAsia="Arial" w:cs="Arial" w:ascii="Arial" w:hAnsi="Arial"/>
          <w:color w:val="auto"/>
          <w:spacing w:val="0"/>
          <w:w w:val="100"/>
          <w:sz w:val="20"/>
          <w:szCs w:val="20"/>
          <w:u w:val="single"/>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u w:val="single"/>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va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al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 trebuie să fie în stare de funcționare în permanenta. Posturile telefonice de prim ajutor vor fi semnalizate corespunzător. Posturile telefonice care nu sunt în funcțiune vor fi reparate de urgența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trusa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caz de accident se poate acorda și de către personalul prezent la locul accidentului, cu condiția ca acesta să cunoască măsurile care trebuiesc luate și dacă are la indemana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rapida și calificată în caz de accident sau îmbolnăvire acută cu scopul de </w:t>
      </w:r>
      <w:r>
        <w:rPr>
          <w:rFonts w:eastAsia="Arial" w:cs="Arial" w:ascii="Arial" w:hAnsi="Arial"/>
          <w:i/>
          <w:color w:val="auto"/>
          <w:spacing w:val="0"/>
          <w:w w:val="100"/>
          <w:sz w:val="20"/>
          <w:szCs w:val="20"/>
          <w:lang w:val="ro-RO"/>
        </w:rPr>
        <w:t>a inlatura cauza, de a ameliora suferinta și de a preveni complicațiile</w:t>
      </w:r>
      <w:r>
        <w:rPr>
          <w:rFonts w:eastAsia="Arial" w:cs="Arial" w:ascii="Arial" w:hAnsi="Arial"/>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Antiseptice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suprafața foarte bun. Se folosește în jurul plăgilor. Alcoolul în plaga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forma de tinctura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degaja are 2 roluri: unul mecanic și un rol dezinfectant și citofilactic (ocazionează dezvoltarea țesuturilor moi). În plăgile arse se recomanda spalaturi zilnice cu apa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spalaturi,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suprafața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ramase întregi aduc o cantitate de hematii trombocite și se formează de la marginea plăgii celulei noi de țesut conjunctiv. Aceasta celula se înmulțește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u w:val="single"/>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plaga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vata trebuie să fie multiple și groase (motive de frig-plaga trebuie să stea la temperatura corpului-37 grade). Dacă plaga n-are sânge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fasa, bandaj, leucoplast sau cu soluție adezivă.</w:t>
      </w:r>
    </w:p>
    <w:p>
      <w:pPr>
        <w:pStyle w:val="Normal"/>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incercam să stabilim comunicarea cu persoana rănită/cu victima (prin întrebări de genul: ce s-a întâmplat cu dumneavoastră?, ma auziți? cum va numiți?, ce va doare?). Sunt și situații în care victima nu poate vorbi din cauza traumelor provocate de accident, dar dacă reacționează și răspunde prin gesturi la întrebările noastre, la atingeri sau la altfel de stimuli externi înseamnă ca este constienta.</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 un fel la stimulii verbali sau la atingeri înseamnă ca nu este constienta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respira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gatului, artera carotida,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importanța metoda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scoli, facultăți, instituții să existe periodic scurte stagii de instruire pentru acordarea primului ajutor. Este bine să se cunoască faptul ca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ca hipoxia cerebrală (lipsa de oxigen la nivelul creierului) duce la leziuni cerebrale care vor transforma bolnavul, eventual salvat, într-o fiinta pur vegetativă. Pe scurt, fără a intra în detalii de tehnică, masajul cardiac extern își propune să înlocuiască funcția de pompa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dura și plata (masa, pat rigid, scandura). Se realizează compresiuni cu podul palmei pe treimea inferioară a sternului – cealaltă palma se suprapune peste prima, pentru a întări forta de presiune. Compresia asupra toracelui victimei se realizează cu un ritm de 50-60 compresii pe minut. La patru-cinci compresii ritmice pe stern se realizează o respirație artificială (gura-la-gura sau gura-la-nas).</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socului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cunoștința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rana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arsita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importanța vitală.</w:t>
      </w:r>
    </w:p>
    <w:p>
      <w:pPr>
        <w:pStyle w:val="Heading1"/>
        <w:widowControl/>
        <w:numPr>
          <w:ilvl w:val="0"/>
          <w:numId w:val="1"/>
        </w:numPr>
        <w:spacing w:before="120" w:after="60"/>
        <w:jc w:val="left"/>
        <w:rPr>
          <w:b w:val="false"/>
          <w:sz w:val="18"/>
          <w:szCs w:val="18"/>
          <w:u w:val="single"/>
          <w:lang w:val="da-DK"/>
        </w:rPr>
      </w:pPr>
      <w:r>
        <w:rPr>
          <w:rFonts w:eastAsia="Arial" w:cs="Arial" w:ascii="Arial" w:hAnsi="Arial"/>
          <w:b w:val="false"/>
          <w:color w:val="auto"/>
          <w:spacing w:val="0"/>
          <w:w w:val="100"/>
          <w:sz w:val="20"/>
          <w:szCs w:val="20"/>
          <w:u w:val="single"/>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urgența. Aplicând pansament sau sina nu pricinuiți dureri suplimentare ceia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apa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plaga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asistentei de urgența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lasa pe spate pacientul fără cunoștință, mai ales în caz de voma sau grețuri. În dependenta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sinistratul din foc, apa sau clădirea ce se darama fără a lua măsuri de protecție individuale. Dacă trebuie de acordat asistența medicală de urgență, uitați-va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Străduiți-va să va protejați pe sine și pe sinistrat. Țineți-l la cald. Folosiți toate posibilitățile de a-l încălzi, în caz de lipsa de cearșafuri și termofoare, folosiți sticle cu apa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cavitatii abdominale a sinistratului și el este în cunoștință, dati-i cit mai mult lichid, mai ales apa cu adaos de sare (1 lingurita) la un litru de apă. În caz de lezare a organelor interne în loc de apa trebuie de aplicat pe limba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752"/>
        <w:gridCol w:w="7603"/>
      </w:tblGrid>
      <w:tr>
        <w:trPr>
          <w:tblHeader w:val="true"/>
          <w:trHeight w:val="523" w:hRule="atLeast"/>
          <w:cantSplit/>
        </w:trPr>
        <w:tc>
          <w:tcPr>
            <w:tcW w:w="1752" w:type="dxa"/>
            <w:tcBorders>
              <w:top w:val="single" w:sz="4" w:space="0" w:color="000000"/>
              <w:left w:val="single" w:sz="4" w:space="0" w:color="000000"/>
              <w:bottom w:val="single" w:sz="4" w:space="0" w:color="000000"/>
              <w:right w:val="single" w:sz="4" w:space="0" w:color="000000"/>
            </w:tcBorders>
            <w:vAlign w:val="center"/>
          </w:tcPr>
          <w:p>
            <w:pPr>
              <w:pStyle w:val="Normal"/>
              <w:widowControl/>
              <w:tabs>
                <w:tab w:val="clear" w:pos="720"/>
                <w:tab w:val="left" w:pos="90" w:leader="none"/>
              </w:tabs>
              <w:spacing w:before="0" w:after="0"/>
              <w:jc w:val="center"/>
              <w:rPr>
                <w:rFonts w:ascii="Arial" w:hAnsi="Arial" w:cs="Arial"/>
                <w:sz w:val="18"/>
                <w:szCs w:val="18"/>
                <w:lang w:val="da-DK"/>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tc>
        <w:tc>
          <w:tcPr>
            <w:tcW w:w="760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i/>
                <w:sz w:val="18"/>
                <w:szCs w:val="18"/>
                <w:lang w:val="da-DK"/>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0"/>
              <w:jc w:val="left"/>
              <w:rPr>
                <w:rFonts w:ascii="Arial" w:hAnsi="Arial" w:cs="Arial"/>
                <w:i/>
                <w:sz w:val="18"/>
                <w:szCs w:val="18"/>
                <w:lang w:val="da-DK"/>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0"/>
              <w:jc w:val="left"/>
              <w:rPr>
                <w:rFonts w:ascii="Arial" w:hAnsi="Arial" w:cs="Arial"/>
                <w:i/>
                <w:sz w:val="18"/>
                <w:szCs w:val="18"/>
                <w:lang w:val="it-IT"/>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0"/>
              <w:jc w:val="left"/>
              <w:rPr>
                <w:rFonts w:ascii="Arial" w:hAnsi="Arial" w:cs="Arial"/>
                <w:i/>
                <w:sz w:val="18"/>
                <w:szCs w:val="18"/>
                <w:lang w:val="it-IT"/>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widowControl/>
              <w:spacing w:before="0" w:after="0"/>
              <w:jc w:val="left"/>
              <w:rPr>
                <w:rFonts w:ascii="Arial" w:hAnsi="Arial" w:cs="Arial"/>
                <w:bCs/>
                <w:sz w:val="18"/>
                <w:szCs w:val="18"/>
                <w:lang w:val="da-DK"/>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0"/>
              <w:jc w:val="left"/>
              <w:rPr>
                <w:rFonts w:ascii="Arial" w:hAnsi="Arial" w:cs="Arial"/>
                <w:bCs/>
                <w:sz w:val="18"/>
                <w:szCs w:val="18"/>
                <w:lang w:val="da-DK"/>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u w:val="single"/>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u w:val="single"/>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u w:val="single"/>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alimentarii consumatorilor din construcție cu energie electrică, gaze și lichide combustibile, cu excepția alimentarii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prompta a incendiului utilizând, după caz, apa, pulberi stingătoare, gaze inerte sau spuma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intrarii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fux și gaze corosive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provocate la instalațiile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u w:val="single"/>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afară părții carosabile și evacuați persoanele din interior prin ușile existente, iar dacă acestea sunt blocate, deschideți-le forțat sau spargeți geamurile;</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întreprinderii, șantiere, instituții, etc, cereți stingătoare tip P de la aceștia, sau chiar tip S;</w:t>
      </w:r>
    </w:p>
    <w:p>
      <w:pPr>
        <w:pStyle w:val="Normal"/>
        <w:widowControl/>
        <w:numPr>
          <w:ilvl w:val="2"/>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 ruptă“ flacăra; în lipsa acestora folosiți nisipul, pământul, noroiul, aruncat cu lopata (chiar și cu mâinile), sau acoperiți-l cu prelate, cârpe, etc. .</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single"/>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u w:val="single"/>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u w:val="single"/>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u w:val="single"/>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tactica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apasa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Recomandari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 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u w:val="single"/>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actiona butonul de alarma cel mai apropiat (marcat distinct deasupra ușii hidranților sau în locurile destinate), prin spargerea geamului de protecție și apăsarea butonului, sau dacă se află la prea mare distanța se va anunta imediat prin telefon, indicând locul exact.</w:t>
      </w:r>
    </w:p>
    <w:p>
      <w:pPr>
        <w:pStyle w:val="Normal"/>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 și bunurilor în caz de incendiu</w:t>
      </w:r>
      <w:r>
        <w:rPr>
          <w:rFonts w:eastAsia="Arial" w:cs="Arial" w:ascii="Arial" w:hAnsi="Arial"/>
          <w:color w:val="auto"/>
          <w:spacing w:val="0"/>
          <w:w w:val="100"/>
          <w:sz w:val="20"/>
          <w:szCs w:val="20"/>
          <w:lang w:val="ro-RO"/>
        </w:rPr>
        <w:t>:</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single"/>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single"/>
          <w:lang w:val="ro-RO"/>
        </w:rPr>
        <w:t>Limitarea propagării incendiilor</w:t>
      </w:r>
      <w:r>
        <w:rPr>
          <w:rFonts w:eastAsia="Arial" w:cs="Arial" w:ascii="Arial" w:hAnsi="Arial"/>
          <w:color w:val="auto"/>
          <w:spacing w:val="0"/>
          <w:w w:val="100"/>
          <w:sz w:val="20"/>
          <w:szCs w:val="20"/>
          <w:lang w:val="ro-RO"/>
        </w:rPr>
        <w:t>:</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autoinchidere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siguranța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perdelele de apa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single"/>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depozitarii în spatiile de siguranța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planșeele de compartimentare antifoc.</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spatiile în care incendiul, explozia sau catastrofa naturală poate provoca moartea, afectă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afară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incit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poate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forma de fluxuri (șiruri de persoane așezate una în spatele celeilalte), care se deplasează prin căile de evacuare către exteriorul clădirii.</w:t>
      </w:r>
    </w:p>
    <w:p>
      <w:pPr>
        <w:pStyle w:val="Normal"/>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tina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aceasta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urgența a persoanelor care nu se pot deplasa singure.</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reusita se impune o buna organizare, ordine și disciplina.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u w:val="single"/>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salvarii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neprevazut, își au viața sau sănătatea în pericol, pe ca nu-l pot inlatura singure.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reusita a salvarii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inalte,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fixa sau pe o coarda (frânghie), pe laturile exterioare ale clădirii inalte;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sine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saritura din clădire pe o perna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eficiența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u w:val="single"/>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față-în dreptul gurii și nasului-o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calificat(salvarea) și transportarea la spital, li se vor da calmante (algocalmin, fasconal, antinevralgic, etc.) și analeptice (cafea neagră tare, cofeină,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ordonanta de urgență.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siguranța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competentelor ce îi revin, cu avizul politiei rutiere, este obligat să instaleze indicatoare ori alte dispozitive speciale, să aplice marcaje pe drumurile publice, conform standardelor în vigoare, și să le mențină în stare corespunzătoare.</w:t>
      </w:r>
    </w:p>
    <w:p>
      <w:pPr>
        <w:pStyle w:val="Heading1"/>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aflat pe partea carosabilă, care stânjenește sau pune în pericol siguranța circulației, și să ia toate măsurile de înlăturare a acestuia.</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politiei rutiere.</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 a caz, administrativ, contravențional, civil sau penal, în condițiile legii.</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Orice măsura de restricție a circulației pe drumurile publice se dispune de către administratorul drumului numai cu avizul politiei rutiere.</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Prin excepție de la Art. 5, alin. (7) din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în cazuri temeinic justificate, politia rutieră poate dispune, fără acordul administratorului drumului public, măsuri temporare de restricție a circulației pe drumurile publice.</w:t>
      </w:r>
    </w:p>
    <w:p>
      <w:pPr>
        <w:pStyle w:val="Heading1"/>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(8)</w:t>
      </w:r>
      <w:r>
        <w:rPr>
          <w:rFonts w:eastAsia="Arial" w:cs="Arial" w:ascii="Arial" w:hAnsi="Arial"/>
          <w:b w:val="false"/>
          <w:color w:val="auto"/>
          <w:spacing w:val="0"/>
          <w:w w:val="100"/>
          <w:sz w:val="20"/>
          <w:szCs w:val="20"/>
          <w:lang w:val="ro-RO"/>
        </w:rPr>
        <w:t xml:space="preserve"> În scopul asigurării desfășurării în condiții de siguranța a circulației pe drumurile publice, politia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corespunda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trusa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atesta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siguranța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politia rutieră, iar verificarea stării tehnice a vehiculelor aflate în trafic pe drumurile publice se face de către politia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conduce un autovehicul pe drumurile publice, conducătorul acestuia trebuie să posede permis de conducere corespunzător și să aibă vârsta minimă de 18 ani împliniți, cu excepția celor care conduc autovehiculele din subcategoriile A1 și B1, care trebuie să aibă vârsta minimă de 16 ani împliniți.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pe drumurile publice tractoare, mașini și utilaje autopropulsate agricole, forestiere sau pentru lucrări, conducătorii acestora trebuie să posede permis de conducere valabil pentru categoriile sau subcategoriile prevăzute în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Conducătorii de tramvaie sau vehicule care efectuează transport public de persoane, precum și cei care conduc autovehicule cu masa maximă autorizată mai mare de 7,5 tone sau cu gabarite depășite ori care transportă produse sau substanțe periculoase trebuie să aibă vârsta minimă de 21 de ani împliniți.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Condițiile de obținere a permisului de conducere se stabilesc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20,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sau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sau de tramvaie vor fi verificați periodic din punct de vedere medical și al capacităților psihologice, în condițiile stabilite de reglementările în vigoare.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sonora;</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usurinta și de la o distanță adecvată, atât pe timp de zi, cât și pe timp de noapte, de cei cărora li se adresează și trebuie să fie în deplina concordanta între ele, precum și într-o stare tehnică de funcționare corespunzătoare.</w:t>
      </w:r>
    </w:p>
    <w:p>
      <w:pPr>
        <w:pStyle w:val="Normal"/>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galbena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caii ferate, după caz. Instalarea mijloacelor de semnalizare rutieră și a dispozitivelor speciale se execută numai cu avizul prealabil al politiei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natura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obliga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albastra obliga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galbena obliga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politiei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politiei rutiere, astfel încât aceasta să asigure deplasarea în siguranța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fluenta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natura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Conducătorii autovehiculelor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Nevăzătorii sunt obligați să poarte în deplasarea pe drumurile publice baston de culoare alba.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siguranța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nedirijata;</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aceasta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nedirijata, conducătorul de vehicul este obligat să cedeze trecerea vehiculelor care vin din partea dreapta,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intersecțiile cu circulație nedirijata, conducătorul de vehicul este obligat să acorde prioritate de trecere vehiculelor care circulă pe sine. Acestea pierd prioritatea de trecere când efectuează virajul spre stânga sau când semnalizarea rutieră din acea zona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intermitenta suplimentară, montată la acela și nivel cu lumina verde normală a semaforului, sub forma unei săgeți verzi pe fond negru, cu vârful spre dreapta, aprinderea acesteia semnifica permisiunea pentru vehicule de a- și continuă drumul în direcția indicată de sageata,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dovada</w:t>
      </w:r>
      <w:r>
        <w:rPr>
          <w:rFonts w:eastAsia="Arial" w:cs="Arial" w:ascii="Arial" w:hAnsi="Arial"/>
          <w:b w:val="false"/>
          <w:color w:val="auto"/>
          <w:spacing w:val="0"/>
          <w:w w:val="100"/>
          <w:sz w:val="20"/>
          <w:szCs w:val="20"/>
          <w:lang w:val="ro-RO"/>
        </w:rPr>
        <w:t xml:space="preserve"> de prudenta sporită la apropierea și traversarea liniilor de cale ferata curenta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ferata curenta, prevazută cu bariere sau semibariere, conducătorii de vehicule sunt obligați să oprească în dreptul indicatorului ce obliga la oprire, dacă acestea sunt în curs de coborâre ori în poziție orizontală și/ sau semnalele sonore și luminoase care anunta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ferata industrială, semnalizată corespunzător, conducătorii de vehicule sunt obligați să se conformeze semnificației semnalelor agentului de cale ferata.</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transporturi agabaritice, precum și pentru autovehiculele de transport marfa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 - 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–Noul cod rutier–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stânga a drumului, în direcția lor de mers. Când și acostamentul lipsește, pietonii sunt obligați să circule cât mai aproape de marginea din partea stânga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coltul străzii, numai după ce s-au asigurat ca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poarta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tru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lang w:val="it-IT"/>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lang w:val="it-IT"/>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right="360"/>
      <w:jc w:val="center"/>
      <w:rPr>
        <w:rStyle w:val="PageNumber"/>
        <w:rFonts w:ascii="Arial" w:hAnsi="Arial" w:cs="Arial"/>
        <w:sz w:val="16"/>
        <w:szCs w:val="16"/>
        <w:lang w:val="it-IT"/>
      </w:rPr>
    </w:pPr>
    <w:r>
      <w:rPr>
        <w:rStyle w:val="PageNumber"/>
        <w:rFonts w:eastAsia="Arial" w:cs="Arial" w:ascii="Arial" w:hAnsi="Arial"/>
        <w:b w:val="false"/>
        <w:color w:val="auto"/>
        <w:spacing w:val="0"/>
        <w:w w:val="100"/>
        <w:sz w:val="16"/>
        <w:szCs w:val="16"/>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