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4093"/>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4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4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4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true"/>
        <w:widowControl/>
        <w:spacing w:before="0" w:after="0"/>
        <w:ind w:hanging="0"/>
        <w:jc w:val="left"/>
        <w:rPr>
          <w:rFonts w:ascii="Arial" w:hAnsi="Arial" w:cs="Arial"/>
          <w:b w:val="false"/>
          <w:sz w:val="8"/>
        </w:rPr>
      </w:pPr>
      <w:r>
        <w:rPr>
          <w:rFonts w:eastAsia="Arial" w:cs="Arial" w:ascii="Arial" w:hAnsi="Arial"/>
          <w:b w:val="false"/>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706"/>
        <w:gridCol w:w="5801"/>
        <w:gridCol w:w="2848"/>
      </w:tblGrid>
      <w:tr>
        <w:trPr>
          <w:tblHeader w:val="true"/>
          <w:trHeight w:val="181" w:hRule="atLeast"/>
        </w:trPr>
        <w:tc>
          <w:tcPr>
            <w:tcW w:w="706" w:type="dxa"/>
            <w:tcBorders>
              <w:top w:val="single" w:sz="4" w:space="0" w:color="000000"/>
              <w:left w:val="single" w:sz="4" w:space="0" w:color="000000"/>
              <w:bottom w:val="single" w:sz="4" w:space="0" w:color="000000"/>
              <w:right w:val="single" w:sz="4" w:space="0" w:color="000000"/>
            </w:tcBorders>
            <w:shd w:color="auto" w:fill="auto" w:val="clear"/>
          </w:tcPr>
          <w:p>
            <w:pPr>
              <w:pStyle w:val="Normal"/>
              <w:keepNext w:val="true"/>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8649" w:type="dxa"/>
            <w:gridSpan w:val="2"/>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Calendarul general de execuție</w:t>
            </w:r>
          </w:p>
        </w:tc>
      </w:tr>
      <w:tr>
        <w:trPr>
          <w:trHeight w:val="467" w:hRule="atLeast"/>
        </w:trPr>
        <w:tc>
          <w:tcPr>
            <w:tcW w:w="706"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58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Data începerii evaluării</w:t>
            </w:r>
          </w:p>
        </w:tc>
        <w:tc>
          <w:tcPr>
            <w:tcW w:w="284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t>
            </w:r>
          </w:p>
        </w:tc>
      </w:tr>
      <w:tr>
        <w:trPr>
          <w:trHeight w:val="530" w:hRule="atLeast"/>
        </w:trPr>
        <w:tc>
          <w:tcPr>
            <w:tcW w:w="706"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ind w:left="12"/>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580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Data finalizării evaluării</w:t>
            </w:r>
          </w:p>
        </w:tc>
        <w:tc>
          <w:tcPr>
            <w:tcW w:w="284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t>
            </w:r>
          </w:p>
        </w:tc>
      </w:tr>
    </w:tbl>
    <w:p>
      <w:pPr>
        <w:pStyle w:val="Normal"/>
        <w:widowControl/>
        <w:spacing w:before="0" w:after="0"/>
        <w:ind w:hanging="0"/>
        <w:jc w:val="left"/>
        <w:rPr>
          <w:rFonts w:ascii="Arial" w:hAnsi="Arial" w:cs="Arial"/>
          <w:b/>
          <w:sz w:val="2"/>
          <w:lang w:val="pt-BR"/>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tabs>
          <w:tab w:val="clear" w:pos="720"/>
          <w:tab w:val="left" w:pos="567"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widowControl/>
        <w:tabs>
          <w:tab w:val="clear" w:pos="720"/>
          <w:tab w:val="left" w:pos="567" w:leader="none"/>
        </w:tabs>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tabs>
          <w:tab w:val="clear" w:pos="720"/>
          <w:tab w:val="left" w:pos="567" w:leader="none"/>
        </w:tabs>
        <w:spacing w:before="24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hanging="0"/>
        <w:jc w:val="left"/>
        <w:rPr>
          <w:rFonts w:ascii="Arial" w:hAnsi="Arial" w:cs="Arial"/>
          <w:sz w:val="2"/>
          <w:szCs w:val="16"/>
        </w:rPr>
      </w:pPr>
      <w:r>
        <w:rPr>
          <w:rFonts w:eastAsia="Arial" w:cs="Arial" w:ascii="Arial" w:hAnsi="Arial"/>
          <w:color w:val="auto"/>
          <w:spacing w:val="0"/>
          <w:w w:val="100"/>
          <w:sz w:val="2"/>
          <w:szCs w:val="20"/>
          <w:lang w:val="ro-RO"/>
        </w:rPr>
      </w:r>
    </w:p>
    <w:tbl>
      <w:tblPr>
        <w:tblW w:w="5000" w:type="pct"/>
        <w:jc w:val="left"/>
        <w:tblInd w:w="55" w:type="dxa"/>
        <w:tblLayout w:type="fixed"/>
        <w:tblCellMar>
          <w:top w:w="55" w:type="dxa"/>
          <w:left w:w="55" w:type="dxa"/>
          <w:bottom w:w="55" w:type="dxa"/>
          <w:right w:w="55" w:type="dxa"/>
        </w:tblCellMar>
      </w:tblPr>
      <w:tblGrid>
        <w:gridCol w:w="1559"/>
        <w:gridCol w:w="7796"/>
      </w:tblGrid>
      <w:tr>
        <w:trPr>
          <w:tblHeader w:val="true"/>
        </w:trPr>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Capitol / Subcapitol</w:t>
            </w:r>
          </w:p>
        </w:tc>
        <w:tc>
          <w:tcPr>
            <w:tcW w:w="7796"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Denumire capitol</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INTRODUCERE ÎN SISTEMUL DE EVALUARE D.P.D.V. AL SECURITĂȚII ȘI SĂNĂTĂȚII ÎN MUNCĂ</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PREZENTAREA METODEI ELABORATE DE I.N.C.D.P.M. BUCUREȘTI PENTRU EVALUAREA RISCURILOR DE ACCIDENTARE ȘI ÎMBOLNǍVIRE PROFESIONALǍ</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PREMISE TEORETICE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DESCRIEREA METODEI</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APLICAREA METODEI</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PREZENTAREA {{client.legalName}}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IV</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FORMAREA ECHIPELOR (COLECTIVULUI) DE EVALUARE A RISCURILOR DE ACCIDENTARE ȘI/ SAU ÎMBOLNĂVIRE PROFESIONALĂ PENTRU {{client.legalName}}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1</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LISTA DE IDENTIFICARE A FACTORILOR DE RISC</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2</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LISTA DE CONSECINȚE POSIBILE ALE ACȚIUNII FACTORILOR DE RISC ASUPRA ORGANISMULUI UMAN</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3</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SCALA DE COTARE A GRAVITĂȚII ȘI PROBABILITĂȚII CONSECINȚELOR ACȚIUNII FACTORILOR DE RISC ASUPRA ORGANISMULUI UMAN</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4</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GRILA DE EVALUARE A RISCURILOR (COMBINAȚIE ÎNTRE GRAVITATEA CONSECINȚELOR ȘI PROBABILITATEA PRODUCERII LOR)</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5</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SCALA DE ÎNCADRARE A NIVELURILOR DE RISC/ SECURITATE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Anexa 6</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ORDINEA IERARHICĂ A MĂSURILOR DE PREVENIRE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BIBLIOGRAFIE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UTILIZAREA METODEI I.N.C.D.P.M. BUCUREȘTI PENTRU EVALUAREA RISCURILOR DE ACCIDENTARE ȘI ÎMBOLNǍVIRE PROFESIONALǍ</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{{#riskAssessment.evaluations}}V.{{roman}}</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EVALUAREA RISCURILOR DE ACCIDENTARE ȘI ÎMBOLNĂVIRE PROFESIONALĂ PENTRU {{heading}}{{/riskAssessment.evaluations}}</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CONCLUZII GENERALE</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CONCLUZIILE EVALUĂRII</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RECOMANDĂRI</w:t>
            </w:r>
          </w:p>
        </w:tc>
      </w:tr>
      <w:tr>
        <w:trPr/>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VI.III</w:t>
            </w:r>
          </w:p>
        </w:tc>
        <w:tc>
          <w:tcPr>
            <w:tcW w:w="7796"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LUCRĂTORILOR ȘI REVIZUIREA EVALUĂRII</w:t>
            </w:r>
          </w:p>
        </w:tc>
      </w:tr>
    </w:tbl>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Cs/>
          <w:sz w:val="2"/>
        </w:rPr>
      </w:pPr>
      <w:r>
        <w:rPr>
          <w:rFonts w:eastAsia="Arial" w:cs="Arial" w:ascii="Arial" w:hAnsi="Arial"/>
          <w:bCs/>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Acest principiu de evaluare a riscurilor este inclus deja în standardele europene (CEI 812/85,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Obligativitatea evaluării riscurilor la locurile de muncă în țara noastră decurge din legislația actuală în domeniu, care a fost armonizată cu legislația Uniunii Europene privind sănătatea și securitatea în muncă. În Legea 319 / 2006 a securității și sănătății în muncă se prevede la art. 7 al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 iar la art. 12 al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Normele metodologice de aplicare a Legii 319 / 2006 la art. 15 al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„Activitățile de prevenire și protecție ... sunt următoarele: identificarea pericolelor și evaluarea riscurilor pentru fiecare componentă a sistemului de muncă, pe locuri de muncă/posturi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Îndeplinirea efectivă a acestei obligații legale se realizează de către personalul din cadrul serviciului de securitate a muncii, cu sprijinul instituțiilor de specialitate sau a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facilitarea îndeplinirii obligațiilor legale ale angajatorilor în domeniul evaluării riscurilor de accidentare și îmbolnăvire profesională au fost concepute și sunt utilizate în prezent un număr relativ mare de metode de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Solidarității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două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a două a lucrării este dedicată prezentării modului concret de utilizare a metodei I.N.C.D.P.M. București în vederea evaluării riscurilor de accidentare și îmbolnăvire profesională pentru locurile de muncă din societatea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s-a luat în calcul evenimentele de muncă produse în cadrul societății până la data de {{issueDate}}, ponderea evenimentelor de muncă ce au avut loc în societate, specifica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ÎMBOLNǍVIRE PROFESIONALǍ</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w:t>
        <w:tab/>
        <w:tab/>
        <w:t xml:space="preserve">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color w:val="auto"/>
          <w:spacing w:val="0"/>
          <w:w w:val="100"/>
          <w:sz w:val="20"/>
          <w:szCs w:val="20"/>
          <w:lang w:val="ro-RO"/>
        </w:rPr>
        <w:object>
          <v:shapetype id="_x0000_tole_rId2" coordsize="21600,21600" o:spt="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32pt;height:32pt;mso-wrap-distance-right:0pt" filled="f" o:ole="">
            <v:imagedata r:id="rId3" o:title=""/>
          </v:shape>
          <o:OLEObject Type="Embed" ProgID="Equation.2" ShapeID="ole_rId2" DrawAspect="Content" ObjectID="_1559347991" r:id="rId2"/>
        </w:objec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unim cele trei dreptunghiuri printr-o linie trasată prin vârfurile care nu sunt pe axele de coordonate, obținem o curbă cu alură de hiperbolă, care descrie legătura dintre cele două variabile: gravitate – probabilitate. Pentru reprezentarea riscului funcție de gravitate și probabilitate, standardul CEN-812/ 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consecintă,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atribuirea nivelurilor de risc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există,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să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analoge, în funcție de natură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punct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Probabilitatea de a acționa într-o anumită manieră generatoare de accident nu poate fi decât aproximată. În alte situații, calculul necesitat de determinarea riguroasă a probabilității de producere a consecinței este atât de elaborios,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trei cazurile ca fiind foarte frecvent.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acest motiv, dacă utilizăm intervalele precizate în CEI 812/1985, obținem 5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atribuirea nivelurilor de risc, respectiv de securitate s-a utilizat curba de acceptabilitate 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Mai întâi, deoarece gravitatea este un element mai important din punct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 nivel minim de risc </w:t>
        <w:tab/>
        <w:t></w:t>
        <w:tab/>
        <w:t>–</w:t>
        <w:tab/>
        <w:t>S</w:t>
      </w:r>
      <w:r>
        <w:rPr>
          <w:rFonts w:eastAsia="Arial" w:cs="Arial" w:ascii="Arial" w:hAnsi="Arial"/>
          <w:color w:val="auto"/>
          <w:spacing w:val="0"/>
          <w:w w:val="100"/>
          <w:sz w:val="20"/>
          <w:szCs w:val="20"/>
          <w:vertAlign w:val="subscript"/>
          <w:lang w:val="ro-RO"/>
        </w:rPr>
        <w:t>7</w:t>
      </w:r>
      <w:r>
        <w:rPr>
          <w:rFonts w:eastAsia="Arial" w:cs="Arial" w:ascii="Arial" w:hAnsi="Arial"/>
          <w:color w:val="auto"/>
          <w:spacing w:val="0"/>
          <w:w w:val="100"/>
          <w:sz w:val="20"/>
          <w:szCs w:val="20"/>
          <w:lang w:val="ro-RO"/>
        </w:rPr>
        <w:t xml:space="preserve"> – nivel maxim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 nivel foarte mic de risc </w:t>
        <w:tab/>
        <w:t>–</w:t>
        <w:tab/>
        <w:t>S</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 nivel foarte mare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 nivel mic de risc</w:t>
        <w:tab/>
        <w:t xml:space="preserve">            </w:t>
        <w:tab/>
        <w:t>–</w:t>
        <w:tab/>
        <w:t>S</w:t>
      </w:r>
      <w:r>
        <w:rPr>
          <w:rFonts w:eastAsia="Arial" w:cs="Arial" w:ascii="Arial" w:hAnsi="Arial"/>
          <w:color w:val="auto"/>
          <w:spacing w:val="0"/>
          <w:w w:val="100"/>
          <w:sz w:val="20"/>
          <w:szCs w:val="20"/>
          <w:vertAlign w:val="subscript"/>
          <w:lang w:val="ro-RO"/>
        </w:rPr>
        <w:t>5</w:t>
      </w:r>
      <w:r>
        <w:rPr>
          <w:rFonts w:eastAsia="Arial" w:cs="Arial" w:ascii="Arial" w:hAnsi="Arial"/>
          <w:color w:val="auto"/>
          <w:spacing w:val="0"/>
          <w:w w:val="100"/>
          <w:sz w:val="20"/>
          <w:szCs w:val="20"/>
          <w:lang w:val="ro-RO"/>
        </w:rPr>
        <w:t xml:space="preserve"> – nivel mare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4</w:t>
      </w:r>
      <w:r>
        <w:rPr>
          <w:rFonts w:eastAsia="Arial" w:cs="Arial" w:ascii="Arial" w:hAnsi="Arial"/>
          <w:color w:val="auto"/>
          <w:spacing w:val="0"/>
          <w:w w:val="100"/>
          <w:sz w:val="20"/>
          <w:szCs w:val="20"/>
          <w:lang w:val="ro-RO"/>
        </w:rPr>
        <w:t xml:space="preserve"> – nivel mediu de risc</w:t>
        <w:tab/>
        <w:t></w:t>
        <w:tab/>
        <w:t>–</w:t>
        <w:tab/>
        <w:t>S</w:t>
      </w:r>
      <w:r>
        <w:rPr>
          <w:rFonts w:eastAsia="Arial" w:cs="Arial" w:ascii="Arial" w:hAnsi="Arial"/>
          <w:color w:val="auto"/>
          <w:spacing w:val="0"/>
          <w:w w:val="100"/>
          <w:sz w:val="20"/>
          <w:szCs w:val="20"/>
          <w:vertAlign w:val="subscript"/>
          <w:lang w:val="ro-RO"/>
        </w:rPr>
        <w:t>4</w:t>
      </w:r>
      <w:r>
        <w:rPr>
          <w:rFonts w:eastAsia="Arial" w:cs="Arial" w:ascii="Arial" w:hAnsi="Arial"/>
          <w:color w:val="auto"/>
          <w:spacing w:val="0"/>
          <w:w w:val="100"/>
          <w:sz w:val="20"/>
          <w:szCs w:val="20"/>
          <w:lang w:val="ro-RO"/>
        </w:rPr>
        <w:t xml:space="preserve"> – nivel mediu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5</w:t>
      </w:r>
      <w:r>
        <w:rPr>
          <w:rFonts w:eastAsia="Arial" w:cs="Arial" w:ascii="Arial" w:hAnsi="Arial"/>
          <w:color w:val="auto"/>
          <w:spacing w:val="0"/>
          <w:w w:val="100"/>
          <w:sz w:val="20"/>
          <w:szCs w:val="20"/>
          <w:lang w:val="ro-RO"/>
        </w:rPr>
        <w:t xml:space="preserve"> – nivel mare de risc</w:t>
        <w:tab/>
        <w:t></w:t>
        <w:tab/>
        <w:t>–</w:t>
        <w:tab/>
        <w:t>S</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 nivel mic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 nivel foarte mare de risc</w:t>
        <w:tab/>
        <w:t></w:t>
        <w:tab/>
        <w:t>– S</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 nivel foarte mic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ab/>
        <w:t>N</w:t>
      </w:r>
      <w:r>
        <w:rPr>
          <w:rFonts w:eastAsia="Arial" w:cs="Arial" w:ascii="Arial" w:hAnsi="Arial"/>
          <w:color w:val="auto"/>
          <w:spacing w:val="0"/>
          <w:w w:val="100"/>
          <w:sz w:val="20"/>
          <w:szCs w:val="20"/>
          <w:vertAlign w:val="subscript"/>
          <w:lang w:val="ro-RO"/>
        </w:rPr>
        <w:t>7</w:t>
      </w:r>
      <w:r>
        <w:rPr>
          <w:rFonts w:eastAsia="Arial" w:cs="Arial" w:ascii="Arial" w:hAnsi="Arial"/>
          <w:color w:val="auto"/>
          <w:spacing w:val="0"/>
          <w:w w:val="100"/>
          <w:sz w:val="20"/>
          <w:szCs w:val="20"/>
          <w:lang w:val="ro-RO"/>
        </w:rPr>
        <w:t xml:space="preserve"> – nivel maxim de risc</w:t>
        <w:tab/>
        <w:t></w:t>
        <w:tab/>
        <w:t>–</w:t>
        <w:tab/>
        <w:t>S</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Reprezentînd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drawing>
          <wp:anchor distT="0" distB="0" distL="114300" distR="114300" simplePos="0" relativeHeight="16" behindDoc="0" locked="0" layoutInCell="0" allowOverlap="0">
            <wp:simplePos x="0" y="0"/>
            <wp:positionH relativeFrom="column">
              <wp:posOffset>2171700</wp:posOffset>
            </wp:positionH>
            <wp:positionV relativeFrom="paragraph">
              <wp:posOffset>60960</wp:posOffset>
            </wp:positionV>
            <wp:extent cx="2057400" cy="1791970"/>
            <wp:effectExtent l="0" t="0" r="0" b="0"/>
            <wp:wrapTopAndBottom/>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anchor>
        </w:drawing>
      </w:r>
    </w:p>
    <w:p>
      <w:pPr>
        <w:pStyle w:val="BodyT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diagonală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prin cele două puncte astfel stabilite o curbă având alura curbei de acceptabilitate stabilită prin CEN-815/85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Trasăm curbele pentru nivelurile 2 - 6 paralel la curba de nivel de risc minim acceptabil prin punctele care delimitează segmentele stabilite pe diagonală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 (1,2 ) (1,3 ) (1,4 ) (1,5 ) (1,6 ) (2,1 );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 (2,3 ) (2,4 ) (3,1 ) (3,2 ) (4,1 );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 (2,6 ) (3,3 ) (3,4 ) (4,2 ) (5,1 ) (6,1 ) (7,1 );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 (3,6 ) (4,3 ) (4,4 ) (5,2 ) (5,3 ) (6,2 ) (7,2 );</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 (4,6 ) (5,4 ) (5,5 ) (6,3 ) (7,3 );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 (6,4 ) (6,5 ) (7,4 );</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 (7,5 ) (7,6 ).</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să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4: </w:t>
      </w: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t xml:space="preserve">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Autorii metodei elaborate în cadrul I.N.C.D.P.M. București consideră că pentru țara noastră ar fi indicat ca nivelul de risc maxim acceptabil să corespundă nivelului 3,5. Aceasta ar însemna în primul rând ca autorizarea de funcționare a agenților economici din punct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risc/securitate pentru un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ADMINISTRATOR societății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frecvența de producere: o dată la 5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Grila de evaluare a riscurilor</w:t>
      </w:r>
      <w:r>
        <w:rPr>
          <w:rFonts w:eastAsia="Arial" w:cs="Arial" w:ascii="Arial" w:hAnsi="Arial"/>
          <w:color w:val="auto"/>
          <w:spacing w:val="0"/>
          <w:w w:val="100"/>
          <w:sz w:val="20"/>
          <w:szCs w:val="20"/>
          <w:lang w:val="ro-RO"/>
        </w:rPr>
        <w:t xml:space="preserve"> (Anexa 4) este de fapt transpunerea sub formă tabelară a graficului din figura 1.5b prezentată în capitolul precedent. Liniile din tabel sunt liniile claselor de gravitate din grafic, iar coloanele – coloanele claselor de probabilitate. Fiecare căsuță corespunde câte unui punct din grafic, de coordonatele </w:t>
      </w:r>
      <w:r>
        <w:rPr>
          <w:rFonts w:eastAsia="Arial" w:cs="Arial" w:ascii="Arial" w:hAnsi="Arial"/>
          <w:iCs/>
          <w:color w:val="auto"/>
          <w:spacing w:val="0"/>
          <w:w w:val="100"/>
          <w:sz w:val="20"/>
          <w:szCs w:val="20"/>
          <w:lang w:val="ro-RO"/>
        </w:rPr>
        <w:t>g</w:t>
      </w:r>
      <w:r>
        <w:rPr>
          <w:rFonts w:eastAsia="Arial" w:cs="Arial" w:ascii="Arial" w:hAnsi="Arial"/>
          <w:color w:val="auto"/>
          <w:spacing w:val="0"/>
          <w:w w:val="100"/>
          <w:sz w:val="20"/>
          <w:szCs w:val="20"/>
          <w:lang w:val="ro-RO"/>
        </w:rPr>
        <w:t xml:space="preserve">,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Scala cuprinde în fapt cele 7 zone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(capitolul 1),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(Anexa 6) este documentul centralizator al tuturor operațiilor de identificare și evaluare a riscurilor de accidentare și/sau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(Anexa 6),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Rezultatul obținut în urma procedurilor anterioare se identifică în Grila de evaluare a riscurilor (Anexa 4) și se înscrie în Fișa locului de muncă (Anexa 6). Cu ajutorul scalei de încadrare a nivelurilor de risc/securitate se determină apoi aceste niveluri pentru fiecare factor de risc în parte. Se obține astfel o ierarhizare a dimensiunii riscurilor la locul de muncă, ceea ce dă posibilitatea stabilirii unei priorități a măsurilor de prevenire și protecție,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 pe loc de muncă se identifică pe Scala de încadrare a nivelurilor de risc/securitate, construită pe principiul invers proporționalității nivelurilor de risc și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(Anexa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atelierul/secția/sectorul sau întreprinderea investigată – N</w:t>
      </w:r>
      <w:r>
        <w:rPr>
          <w:rFonts w:eastAsia="Arial" w:cs="Arial" w:ascii="Arial" w:hAnsi="Arial"/>
          <w:color w:val="auto"/>
          <w:spacing w:val="0"/>
          <w:w w:val="100"/>
          <w:sz w:val="20"/>
          <w:szCs w:val="20"/>
          <w:vertAlign w:val="subscript"/>
          <w:lang w:val="ro-RO"/>
        </w:rPr>
        <w:t>S</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stabilirea măsurilor necesare îmbunătățirii nivelului de securitate a sistemului de muncă analizat se impune luarea în considerare a ierarhiei riscurilor evaluate, conform Scalei de încadrare a nivelurilor de risc/securitate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 – 7</w:t>
        <w:tab/>
        <w:t xml:space="preserve">   dacă se operează cu nivelurile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autonată a datelor.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și corectă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Conducătorul locului de muncă: {{workplaceManager.name}}, {{workplaceManager.jobTitle}}</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Locurile în care se desfășoară activitatea:</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{{kind}} „{{name}}”: {{address}}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Luând în considerare ca evaluarea de risc de accidentare și îmbolnăvire profesională la {{client.legalName}} este un proces de analiza ce are ca scop îmbunătățirea continuă a condițiilor de muncă, echipa de evaluare a riscului trebuie privită ca un colectiv care desfășoară o activitate semipermanenta a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pe care o evaluare obiectivă și actualizată periodic contribuie în mod cert la creșterea performantelor productive ale angajaților, eficiența proceselor de muncă și asigurarea creșterii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tbl>
      <w:tblPr>
        <w:tblW w:w="5000" w:type="pct"/>
        <w:jc w:val="left"/>
        <w:tblInd w:w="55" w:type="dxa"/>
        <w:tblLayout w:type="fixed"/>
        <w:tblCellMar>
          <w:top w:w="55" w:type="dxa"/>
          <w:left w:w="55" w:type="dxa"/>
          <w:bottom w:w="55" w:type="dxa"/>
          <w:right w:w="55" w:type="dxa"/>
        </w:tblCellMar>
      </w:tblPr>
      <w:tblGrid>
        <w:gridCol w:w="4092"/>
        <w:gridCol w:w="5263"/>
      </w:tblGrid>
      <w:tr>
        <w:trPr>
          <w:tblHeader w:val="true"/>
        </w:trPr>
        <w:tc>
          <w:tcPr>
            <w:tcW w:w="409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Numele și prenumele</w:t>
            </w:r>
          </w:p>
        </w:tc>
        <w:tc>
          <w:tcPr>
            <w:tcW w:w="5263"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Funcția (încadrarea în muncă)</w:t>
            </w:r>
          </w:p>
        </w:tc>
      </w:tr>
      <w:tr>
        <w:trPr/>
        <w:tc>
          <w:tcPr>
            <w:tcW w:w="409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{{#evaluationTeam}}{{name}}</w:t>
            </w:r>
          </w:p>
        </w:tc>
        <w:tc>
          <w:tcPr>
            <w:tcW w:w="5263"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{{jobTitle}}, {{client.legalName}}{{/evaluationTeam}}</w:t>
            </w:r>
          </w:p>
        </w:tc>
      </w:tr>
      <w:tr>
        <w:trPr/>
        <w:tc>
          <w:tcPr>
            <w:tcW w:w="409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{{specialist.name}}</w:t>
            </w:r>
          </w:p>
        </w:tc>
        <w:tc>
          <w:tcPr>
            <w:tcW w:w="5263"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{{specialist.professionalTitle}}, {{provider.legalName}}</w:t>
            </w:r>
          </w:p>
        </w:tc>
      </w:tr>
    </w:tbl>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se va stabili necesitatea întocmirii unor noi proceduri, s-au stabilit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fiecare loc de muncă, respectiv, post de lucru în parte, determinarea (cuantificarea) cantitativă a niveluilui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Aceasta metoda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Procedura de lucru a metodei de evaluare prin analiza sistematica cuprinde, pe lângă etapele propriu-zese și alte activități (valabile pentru fiecare loc de muncă /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determinarea nivelului de risc parțial și nivelului de risc global pentru postul de lucru /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determinarea ponderii factorilor de risc identificați după elementele sistemului de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widowControl/>
        <w:tabs>
          <w:tab w:val="clear" w:pos="720"/>
          <w:tab w:val="center" w:pos="4586" w:leader="none"/>
          <w:tab w:val="right" w:pos="9173" w:leader="none"/>
        </w:tabs>
        <w:spacing w:before="0" w:after="0"/>
        <w:ind w:hanging="0"/>
        <w:jc w:val="left"/>
        <w:rPr>
          <w:rFonts w:ascii="Arial" w:hAnsi="Arial" w:cs="Arial"/>
          <w:spacing w:val="28"/>
          <w:sz w:val="2"/>
          <w:szCs w:val="18"/>
        </w:rPr>
      </w:pPr>
      <w:r>
        <w:rPr>
          <w:rFonts w:eastAsia="Arial" w:cs="Arial" w:ascii="Arial" w:hAnsi="Arial"/>
          <w:color w:val="auto"/>
          <w:spacing w:val="0"/>
          <w:w w:val="100"/>
          <w:sz w:val="2"/>
          <w:szCs w:val="20"/>
          <w:lang w:val="ro-RO"/>
        </w:rPr>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819"/>
        <w:gridCol w:w="8536"/>
      </w:tblGrid>
      <w:tr>
        <w:trPr>
          <w:tblHeader w:val="true"/>
        </w:trPr>
        <w:tc>
          <w:tcPr>
            <w:tcW w:w="819" w:type="dxa"/>
            <w:tcBorders>
              <w:top w:val="single" w:sz="4" w:space="0" w:color="000000"/>
              <w:left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w:t>
            </w:r>
          </w:p>
        </w:tc>
        <w:tc>
          <w:tcPr>
            <w:tcW w:w="8536" w:type="dxa"/>
            <w:tcBorders>
              <w:top w:val="single" w:sz="4" w:space="0" w:color="000000"/>
              <w:left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EXECUTANT</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ACȚIUNI GREȘITE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Executare defectuoasă de operații:</w:t>
            </w:r>
          </w:p>
          <w:p>
            <w:pPr>
              <w:pStyle w:val="Normal"/>
              <w:widowControl/>
              <w:numPr>
                <w:ilvl w:val="0"/>
                <w:numId w:val="13"/>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Comenzi;</w:t>
            </w:r>
          </w:p>
          <w:p>
            <w:pPr>
              <w:pStyle w:val="Normal"/>
              <w:widowControl/>
              <w:numPr>
                <w:ilvl w:val="0"/>
                <w:numId w:val="13"/>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Manevre;</w:t>
            </w:r>
          </w:p>
          <w:p>
            <w:pPr>
              <w:pStyle w:val="Normal"/>
              <w:widowControl/>
              <w:numPr>
                <w:ilvl w:val="0"/>
                <w:numId w:val="13"/>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Poziționări, fixări, asamblări;</w:t>
            </w:r>
          </w:p>
          <w:p>
            <w:pPr>
              <w:pStyle w:val="Normal"/>
              <w:widowControl/>
              <w:numPr>
                <w:ilvl w:val="0"/>
                <w:numId w:val="13"/>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Reglaje;</w:t>
            </w:r>
          </w:p>
          <w:p>
            <w:pPr>
              <w:pStyle w:val="Normal"/>
              <w:widowControl/>
              <w:numPr>
                <w:ilvl w:val="0"/>
                <w:numId w:val="13"/>
              </w:numPr>
              <w:tabs>
                <w:tab w:val="left" w:pos="720" w:leader="none"/>
              </w:tabs>
              <w:spacing w:before="0" w:after="0"/>
              <w:ind w:hanging="360" w:left="720"/>
              <w:rPr>
                <w:rFonts w:ascii="Arial" w:hAnsi="Arial" w:cs="Arial"/>
                <w:b/>
                <w:sz w:val="18"/>
                <w:szCs w:val="18"/>
              </w:rPr>
            </w:pPr>
            <w:r>
              <w:rPr>
                <w:rFonts w:eastAsia="Arial" w:cs="Arial" w:ascii="Arial" w:hAnsi="Arial"/>
                <w:color w:val="auto"/>
                <w:spacing w:val="0"/>
                <w:w w:val="100"/>
                <w:sz w:val="20"/>
                <w:szCs w:val="20"/>
                <w:lang w:val="ro-RO"/>
              </w:rPr>
              <w:t>Utilizare greșită a mijloacelor de protecție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Nesincronizări de operații:</w:t>
            </w:r>
          </w:p>
          <w:p>
            <w:pPr>
              <w:pStyle w:val="Normal"/>
              <w:widowControl/>
              <w:numPr>
                <w:ilvl w:val="0"/>
                <w:numId w:val="17"/>
              </w:numPr>
              <w:spacing w:before="0" w:after="0"/>
              <w:rPr>
                <w:rFonts w:ascii="Arial" w:hAnsi="Arial" w:cs="Arial"/>
                <w:sz w:val="18"/>
                <w:szCs w:val="18"/>
              </w:rPr>
            </w:pPr>
            <w:r>
              <w:rPr>
                <w:rFonts w:eastAsia="Arial" w:cs="Arial" w:ascii="Arial" w:hAnsi="Arial"/>
                <w:color w:val="auto"/>
                <w:spacing w:val="0"/>
                <w:w w:val="100"/>
                <w:sz w:val="20"/>
                <w:szCs w:val="20"/>
                <w:lang w:val="ro-RO"/>
              </w:rPr>
              <w:t>Întârzieri;</w:t>
            </w:r>
          </w:p>
          <w:p>
            <w:pPr>
              <w:pStyle w:val="Normal"/>
              <w:widowControl/>
              <w:numPr>
                <w:ilvl w:val="0"/>
                <w:numId w:val="17"/>
              </w:numPr>
              <w:spacing w:before="0" w:after="0"/>
              <w:rPr>
                <w:rFonts w:ascii="Arial" w:hAnsi="Arial" w:cs="Arial"/>
                <w:b/>
                <w:sz w:val="18"/>
                <w:szCs w:val="18"/>
              </w:rPr>
            </w:pPr>
            <w:r>
              <w:rPr>
                <w:rFonts w:eastAsia="Arial" w:cs="Arial" w:ascii="Arial" w:hAnsi="Arial"/>
                <w:color w:val="auto"/>
                <w:spacing w:val="0"/>
                <w:w w:val="100"/>
                <w:sz w:val="20"/>
                <w:szCs w:val="20"/>
                <w:lang w:val="ro-RO"/>
              </w:rPr>
              <w:t>Devansări.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Efectuare de operații neprevăzute prin sarcina de muncă</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Pornirea echipamentelor tehnice;</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întreruperea funcționării echipamentelor tehnice;</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alimentarea sau oprirea alimentării cu energie (curent electric, fluide energetice etc.);</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deplasări, staționări în zone periculoase;</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deplasări cu pericol de cădere:</w:t>
            </w:r>
          </w:p>
          <w:p>
            <w:pPr>
              <w:pStyle w:val="Normal"/>
              <w:widowControl/>
              <w:numPr>
                <w:ilvl w:val="0"/>
                <w:numId w:val="19"/>
              </w:numPr>
              <w:spacing w:before="0" w:after="0"/>
              <w:rPr>
                <w:rFonts w:ascii="Arial" w:hAnsi="Arial" w:cs="Arial"/>
                <w:sz w:val="18"/>
                <w:szCs w:val="18"/>
              </w:rPr>
            </w:pPr>
            <w:r>
              <w:rPr>
                <w:rFonts w:eastAsia="Arial" w:cs="Arial" w:ascii="Arial" w:hAnsi="Arial"/>
                <w:color w:val="auto"/>
                <w:spacing w:val="0"/>
                <w:w w:val="100"/>
                <w:sz w:val="20"/>
                <w:szCs w:val="20"/>
                <w:lang w:val="ro-RO"/>
              </w:rPr>
              <w:t>de la același nivel:</w:t>
            </w:r>
          </w:p>
          <w:p>
            <w:pPr>
              <w:pStyle w:val="Normal"/>
              <w:widowControl/>
              <w:numPr>
                <w:ilvl w:val="0"/>
                <w:numId w:val="20"/>
              </w:numPr>
              <w:spacing w:before="0" w:after="0"/>
              <w:rPr>
                <w:rFonts w:ascii="Arial" w:hAnsi="Arial" w:cs="Arial"/>
                <w:sz w:val="18"/>
                <w:szCs w:val="18"/>
              </w:rPr>
            </w:pPr>
            <w:r>
              <w:rPr>
                <w:rFonts w:eastAsia="Arial" w:cs="Arial" w:ascii="Arial" w:hAnsi="Arial"/>
                <w:color w:val="auto"/>
                <w:spacing w:val="0"/>
                <w:w w:val="100"/>
                <w:sz w:val="20"/>
                <w:szCs w:val="20"/>
                <w:lang w:val="ro-RO"/>
              </w:rPr>
              <w:t>prin dezechilibrare;</w:t>
            </w:r>
          </w:p>
          <w:p>
            <w:pPr>
              <w:pStyle w:val="Normal"/>
              <w:widowControl/>
              <w:numPr>
                <w:ilvl w:val="0"/>
                <w:numId w:val="20"/>
              </w:numPr>
              <w:spacing w:before="0" w:after="0"/>
              <w:rPr>
                <w:rFonts w:ascii="Arial" w:hAnsi="Arial" w:cs="Arial"/>
                <w:sz w:val="18"/>
                <w:szCs w:val="18"/>
              </w:rPr>
            </w:pPr>
            <w:r>
              <w:rPr>
                <w:rFonts w:eastAsia="Arial" w:cs="Arial" w:ascii="Arial" w:hAnsi="Arial"/>
                <w:color w:val="auto"/>
                <w:spacing w:val="0"/>
                <w:w w:val="100"/>
                <w:sz w:val="20"/>
                <w:szCs w:val="20"/>
                <w:lang w:val="ro-RO"/>
              </w:rPr>
              <w:t>alunecare;</w:t>
            </w:r>
          </w:p>
          <w:p>
            <w:pPr>
              <w:pStyle w:val="Normal"/>
              <w:widowControl/>
              <w:numPr>
                <w:ilvl w:val="0"/>
                <w:numId w:val="20"/>
              </w:numPr>
              <w:spacing w:before="0" w:after="0"/>
              <w:rPr>
                <w:rFonts w:ascii="Arial" w:hAnsi="Arial" w:cs="Arial"/>
                <w:sz w:val="18"/>
                <w:szCs w:val="18"/>
              </w:rPr>
            </w:pPr>
            <w:r>
              <w:rPr>
                <w:rFonts w:eastAsia="Arial" w:cs="Arial" w:ascii="Arial" w:hAnsi="Arial"/>
                <w:color w:val="auto"/>
                <w:spacing w:val="0"/>
                <w:w w:val="100"/>
                <w:sz w:val="20"/>
                <w:szCs w:val="20"/>
                <w:lang w:val="ro-RO"/>
              </w:rPr>
              <w:t>împiedicare;</w:t>
            </w:r>
          </w:p>
          <w:p>
            <w:pPr>
              <w:pStyle w:val="Normal"/>
              <w:widowControl/>
              <w:numPr>
                <w:ilvl w:val="0"/>
                <w:numId w:val="21"/>
              </w:numPr>
              <w:spacing w:before="0" w:after="0"/>
              <w:rPr>
                <w:rFonts w:ascii="Arial" w:hAnsi="Arial" w:cs="Arial"/>
                <w:sz w:val="18"/>
                <w:szCs w:val="18"/>
              </w:rPr>
            </w:pPr>
            <w:r>
              <w:rPr>
                <w:rFonts w:eastAsia="Arial" w:cs="Arial" w:ascii="Arial" w:hAnsi="Arial"/>
                <w:color w:val="auto"/>
                <w:spacing w:val="0"/>
                <w:w w:val="100"/>
                <w:sz w:val="20"/>
                <w:szCs w:val="20"/>
                <w:lang w:val="ro-RO"/>
              </w:rPr>
              <w:t>de la înălțime:</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prin pășire în gol;</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prin dezechilibrare;</w:t>
            </w:r>
          </w:p>
          <w:p>
            <w:pPr>
              <w:pStyle w:val="Normal"/>
              <w:widowControl/>
              <w:numPr>
                <w:ilvl w:val="0"/>
                <w:numId w:val="18"/>
              </w:numPr>
              <w:spacing w:before="0" w:after="0"/>
              <w:rPr>
                <w:rFonts w:ascii="Arial" w:hAnsi="Arial" w:cs="Arial"/>
                <w:sz w:val="18"/>
                <w:szCs w:val="18"/>
              </w:rPr>
            </w:pPr>
            <w:r>
              <w:rPr>
                <w:rFonts w:eastAsia="Arial" w:cs="Arial" w:ascii="Arial" w:hAnsi="Arial"/>
                <w:color w:val="auto"/>
                <w:spacing w:val="0"/>
                <w:w w:val="100"/>
                <w:sz w:val="20"/>
                <w:szCs w:val="20"/>
                <w:lang w:val="ro-RO"/>
              </w:rPr>
              <w:t>prin alunecare.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1.4. Comunicări accidentogene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OMISIUNI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Omiterea unor operații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Neutilizarea mijloacelor de protecție</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B.</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SARCINA DE MUNCǍ</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CONȚINUT NECORESPUNZĂTOR AL SARCINII DE MUNCĂ ÎN RAPORT CU CERINȚELE DE SECURITATE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Operații, reguli, procedee greșite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Absența unor operații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Metode de muncă necorespunzătoare (succesiune greșită a operațiilor)</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SARCINA SUB/ SUPRADIMENSIONATĂ ÎN RAPORT CU CAPACITATEA EXECUTANTULUI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Solicitare fizică:</w:t>
            </w:r>
          </w:p>
          <w:p>
            <w:pPr>
              <w:pStyle w:val="Normal"/>
              <w:widowControl/>
              <w:numPr>
                <w:ilvl w:val="0"/>
                <w:numId w:val="22"/>
              </w:numPr>
              <w:spacing w:before="0" w:after="0"/>
              <w:rPr>
                <w:rFonts w:ascii="Arial" w:hAnsi="Arial" w:cs="Arial"/>
                <w:sz w:val="18"/>
                <w:szCs w:val="18"/>
              </w:rPr>
            </w:pPr>
            <w:r>
              <w:rPr>
                <w:rFonts w:eastAsia="Arial" w:cs="Arial" w:ascii="Arial" w:hAnsi="Arial"/>
                <w:color w:val="auto"/>
                <w:spacing w:val="0"/>
                <w:w w:val="100"/>
                <w:sz w:val="20"/>
                <w:szCs w:val="20"/>
                <w:lang w:val="ro-RO"/>
              </w:rPr>
              <w:t>efort static;</w:t>
            </w:r>
          </w:p>
          <w:p>
            <w:pPr>
              <w:pStyle w:val="Normal"/>
              <w:widowControl/>
              <w:numPr>
                <w:ilvl w:val="0"/>
                <w:numId w:val="22"/>
              </w:numPr>
              <w:spacing w:before="0" w:after="0"/>
              <w:rPr>
                <w:rFonts w:ascii="Arial" w:hAnsi="Arial" w:cs="Arial"/>
                <w:sz w:val="18"/>
                <w:szCs w:val="18"/>
              </w:rPr>
            </w:pPr>
            <w:r>
              <w:rPr>
                <w:rFonts w:eastAsia="Arial" w:cs="Arial" w:ascii="Arial" w:hAnsi="Arial"/>
                <w:color w:val="auto"/>
                <w:spacing w:val="0"/>
                <w:w w:val="100"/>
                <w:sz w:val="20"/>
                <w:szCs w:val="20"/>
                <w:lang w:val="ro-RO"/>
              </w:rPr>
              <w:t>poziții de lucru forțate sau vicioase;</w:t>
            </w:r>
          </w:p>
          <w:p>
            <w:pPr>
              <w:pStyle w:val="Normal"/>
              <w:widowControl/>
              <w:numPr>
                <w:ilvl w:val="0"/>
                <w:numId w:val="22"/>
              </w:numPr>
              <w:spacing w:before="0" w:after="0"/>
              <w:rPr>
                <w:rFonts w:ascii="Arial" w:hAnsi="Arial" w:cs="Arial"/>
                <w:sz w:val="18"/>
                <w:szCs w:val="18"/>
              </w:rPr>
            </w:pPr>
            <w:r>
              <w:rPr>
                <w:rFonts w:eastAsia="Arial" w:cs="Arial" w:ascii="Arial" w:hAnsi="Arial"/>
                <w:color w:val="auto"/>
                <w:spacing w:val="0"/>
                <w:w w:val="100"/>
                <w:sz w:val="20"/>
                <w:szCs w:val="20"/>
                <w:lang w:val="ro-RO"/>
              </w:rPr>
              <w:t>efort dinamic.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Solicitare psihică:</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ritm de muncă mare;</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decizii dificile în timp scurt;</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operații repetitive de ciclu scurt sau extrem de complex etc.;</w:t>
            </w:r>
          </w:p>
          <w:p>
            <w:pPr>
              <w:pStyle w:val="Normal"/>
              <w:widowControl/>
              <w:numPr>
                <w:ilvl w:val="0"/>
                <w:numId w:val="23"/>
              </w:numPr>
              <w:spacing w:before="0" w:after="0"/>
              <w:rPr>
                <w:rFonts w:ascii="Arial" w:hAnsi="Arial" w:cs="Arial"/>
                <w:sz w:val="18"/>
                <w:szCs w:val="18"/>
              </w:rPr>
            </w:pPr>
            <w:r>
              <w:rPr>
                <w:rFonts w:eastAsia="Arial" w:cs="Arial" w:ascii="Arial" w:hAnsi="Arial"/>
                <w:color w:val="auto"/>
                <w:spacing w:val="0"/>
                <w:w w:val="100"/>
                <w:sz w:val="20"/>
                <w:szCs w:val="20"/>
                <w:lang w:val="ro-RO"/>
              </w:rPr>
              <w:t>monotonia muncii.</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MIJLOACE DE PRODUCȚIE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MECANIC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1.1.Mișcări periculoase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1.1.1.Mișcări funcționale ale echipamentelor tehnice:</w:t>
            </w:r>
          </w:p>
          <w:p>
            <w:pPr>
              <w:pStyle w:val="Normal"/>
              <w:widowControl/>
              <w:numPr>
                <w:ilvl w:val="0"/>
                <w:numId w:val="14"/>
              </w:numPr>
              <w:spacing w:before="0" w:after="0"/>
              <w:rPr>
                <w:rFonts w:ascii="Arial" w:hAnsi="Arial" w:cs="Arial"/>
                <w:sz w:val="18"/>
                <w:szCs w:val="18"/>
              </w:rPr>
            </w:pPr>
            <w:r>
              <w:rPr>
                <w:rFonts w:eastAsia="Arial" w:cs="Arial" w:ascii="Arial" w:hAnsi="Arial"/>
                <w:color w:val="auto"/>
                <w:spacing w:val="0"/>
                <w:w w:val="100"/>
                <w:sz w:val="20"/>
                <w:szCs w:val="20"/>
                <w:lang w:val="ro-RO"/>
              </w:rPr>
              <w:t>organe de mașini în mișcare;</w:t>
            </w:r>
          </w:p>
          <w:p>
            <w:pPr>
              <w:pStyle w:val="Normal"/>
              <w:widowControl/>
              <w:numPr>
                <w:ilvl w:val="0"/>
                <w:numId w:val="14"/>
              </w:numPr>
              <w:spacing w:before="0" w:after="0"/>
              <w:rPr>
                <w:rFonts w:ascii="Arial" w:hAnsi="Arial" w:cs="Arial"/>
                <w:sz w:val="18"/>
                <w:szCs w:val="18"/>
              </w:rPr>
            </w:pPr>
            <w:r>
              <w:rPr>
                <w:rFonts w:eastAsia="Arial" w:cs="Arial" w:ascii="Arial" w:hAnsi="Arial"/>
                <w:color w:val="auto"/>
                <w:spacing w:val="0"/>
                <w:w w:val="100"/>
                <w:sz w:val="20"/>
                <w:szCs w:val="20"/>
                <w:lang w:val="ro-RO"/>
              </w:rPr>
              <w:t>curgeri de fluide;</w:t>
            </w:r>
          </w:p>
          <w:p>
            <w:pPr>
              <w:pStyle w:val="Normal"/>
              <w:widowControl/>
              <w:numPr>
                <w:ilvl w:val="0"/>
                <w:numId w:val="14"/>
              </w:numPr>
              <w:spacing w:before="0" w:after="0"/>
              <w:rPr>
                <w:rFonts w:ascii="Arial" w:hAnsi="Arial" w:cs="Arial"/>
                <w:sz w:val="18"/>
                <w:szCs w:val="18"/>
              </w:rPr>
            </w:pPr>
            <w:r>
              <w:rPr>
                <w:rFonts w:eastAsia="Arial" w:cs="Arial" w:ascii="Arial" w:hAnsi="Arial"/>
                <w:color w:val="auto"/>
                <w:spacing w:val="0"/>
                <w:w w:val="100"/>
                <w:sz w:val="20"/>
                <w:szCs w:val="20"/>
                <w:lang w:val="ro-RO"/>
              </w:rPr>
              <w:t>deplasări ale mijloacelor de transport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1.1.2.Autodeclanșări sau autoblocări contraindicate ale mișcărilor funcționale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ale echipamentelor tehnice sau ale fluidelor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1.1.3.Deplasări sub efectul gravitației:</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alunecare;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rostogolire;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rulare pe roți;</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răsturnare;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cădere liberă;</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scurgere liberă;</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deversare;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surpare, prăbușire;</w:t>
            </w:r>
          </w:p>
          <w:p>
            <w:pPr>
              <w:pStyle w:val="Normal"/>
              <w:widowControl/>
              <w:numPr>
                <w:ilvl w:val="0"/>
                <w:numId w:val="24"/>
              </w:numPr>
              <w:spacing w:before="0" w:after="0"/>
              <w:rPr>
                <w:rFonts w:ascii="Arial" w:hAnsi="Arial" w:cs="Arial"/>
                <w:sz w:val="18"/>
                <w:szCs w:val="18"/>
              </w:rPr>
            </w:pPr>
            <w:r>
              <w:rPr>
                <w:rFonts w:eastAsia="Arial" w:cs="Arial" w:ascii="Arial" w:hAnsi="Arial"/>
                <w:color w:val="auto"/>
                <w:spacing w:val="0"/>
                <w:w w:val="100"/>
                <w:sz w:val="20"/>
                <w:szCs w:val="20"/>
                <w:lang w:val="ro-RO"/>
              </w:rPr>
              <w:t>scufundare.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1.1.4.Deplasări sub efectul propulsiei:</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proiectare de corpuri sau particule;</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deviere de la traiectoria normală;</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balans;</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recul;</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șocuri excesive;</w:t>
            </w:r>
          </w:p>
          <w:p>
            <w:pPr>
              <w:pStyle w:val="Normal"/>
              <w:widowControl/>
              <w:numPr>
                <w:ilvl w:val="0"/>
                <w:numId w:val="15"/>
              </w:numPr>
              <w:spacing w:before="0" w:after="0"/>
              <w:rPr>
                <w:rFonts w:ascii="Arial" w:hAnsi="Arial" w:cs="Arial"/>
                <w:sz w:val="18"/>
                <w:szCs w:val="18"/>
              </w:rPr>
            </w:pPr>
            <w:r>
              <w:rPr>
                <w:rFonts w:eastAsia="Arial" w:cs="Arial" w:ascii="Arial" w:hAnsi="Arial"/>
                <w:color w:val="auto"/>
                <w:spacing w:val="0"/>
                <w:w w:val="100"/>
                <w:sz w:val="20"/>
                <w:szCs w:val="20"/>
                <w:lang w:val="ro-RO"/>
              </w:rPr>
              <w:t>jet, erupție.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Suprafețe sau contururi periculoase: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înțepătoare;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tăioase;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alunecoase;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abrasive;</w:t>
            </w:r>
          </w:p>
          <w:p>
            <w:pPr>
              <w:pStyle w:val="Normal"/>
              <w:widowControl/>
              <w:numPr>
                <w:ilvl w:val="0"/>
                <w:numId w:val="25"/>
              </w:numPr>
              <w:spacing w:before="0" w:after="0"/>
              <w:rPr>
                <w:rFonts w:ascii="Arial" w:hAnsi="Arial" w:cs="Arial"/>
                <w:sz w:val="18"/>
                <w:szCs w:val="18"/>
              </w:rPr>
            </w:pPr>
            <w:r>
              <w:rPr>
                <w:rFonts w:eastAsia="Arial" w:cs="Arial" w:ascii="Arial" w:hAnsi="Arial"/>
                <w:color w:val="auto"/>
                <w:spacing w:val="0"/>
                <w:w w:val="100"/>
                <w:sz w:val="20"/>
                <w:szCs w:val="20"/>
                <w:lang w:val="ro-RO"/>
              </w:rPr>
              <w:t>adezive.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Recipiente sub presiune</w:t>
            </w:r>
          </w:p>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1.4. Vibrații excesive ale echipamentelor tehnice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TERMIC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2.1.Temperatura ridicată a obiectelor sau suprafețelor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2.2.Temperatura coborâtă a obiectelor sau suprafețelor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2.3. Flăcări, flame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ELECTRIC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3.1.Curentul electric:</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atingere directă;</w:t>
            </w:r>
          </w:p>
          <w:p>
            <w:pPr>
              <w:pStyle w:val="Normal"/>
              <w:widowControl/>
              <w:numPr>
                <w:ilvl w:val="0"/>
                <w:numId w:val="26"/>
              </w:numPr>
              <w:spacing w:before="0" w:after="0"/>
              <w:rPr>
                <w:rFonts w:ascii="Arial" w:hAnsi="Arial" w:cs="Arial"/>
                <w:sz w:val="18"/>
                <w:szCs w:val="18"/>
              </w:rPr>
            </w:pPr>
            <w:r>
              <w:rPr>
                <w:rFonts w:eastAsia="Arial" w:cs="Arial" w:ascii="Arial" w:hAnsi="Arial"/>
                <w:color w:val="auto"/>
                <w:spacing w:val="0"/>
                <w:w w:val="100"/>
                <w:sz w:val="20"/>
                <w:szCs w:val="20"/>
                <w:lang w:val="ro-RO"/>
              </w:rPr>
              <w:t>atingere indirectă;</w:t>
            </w:r>
          </w:p>
          <w:p>
            <w:pPr>
              <w:pStyle w:val="Normal"/>
              <w:widowControl/>
              <w:numPr>
                <w:ilvl w:val="0"/>
                <w:numId w:val="26"/>
              </w:numPr>
              <w:spacing w:before="0" w:after="0"/>
              <w:rPr>
                <w:rFonts w:ascii="Arial" w:hAnsi="Arial" w:cs="Arial"/>
                <w:b/>
                <w:sz w:val="18"/>
                <w:szCs w:val="18"/>
              </w:rPr>
            </w:pPr>
            <w:r>
              <w:rPr>
                <w:rFonts w:eastAsia="Arial" w:cs="Arial" w:ascii="Arial" w:hAnsi="Arial"/>
                <w:color w:val="auto"/>
                <w:spacing w:val="0"/>
                <w:w w:val="100"/>
                <w:sz w:val="20"/>
                <w:szCs w:val="20"/>
                <w:lang w:val="ro-RO"/>
              </w:rPr>
              <w:t>tensiune de pas.</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CHIMIC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4.1.Substanțe toxice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4.2.Substanțe caustice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4.3.Substanțe inflamabile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4.4.Substanțe explozive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4.5.Substanțe cancerigene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4.6.Substanțe radioactive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4.7.Substanțe mutagene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BIOLOGIC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5.1.Culturi sau preparate cu microorganisme:</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bacterii;</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virusuri;</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richeți;</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spirochete;</w:t>
            </w:r>
          </w:p>
          <w:p>
            <w:pPr>
              <w:pStyle w:val="Normal"/>
              <w:widowControl/>
              <w:numPr>
                <w:ilvl w:val="0"/>
                <w:numId w:val="27"/>
              </w:numPr>
              <w:spacing w:before="0" w:after="0"/>
              <w:rPr>
                <w:rFonts w:ascii="Arial" w:hAnsi="Arial" w:cs="Arial"/>
                <w:sz w:val="18"/>
                <w:szCs w:val="18"/>
              </w:rPr>
            </w:pPr>
            <w:r>
              <w:rPr>
                <w:rFonts w:eastAsia="Arial" w:cs="Arial" w:ascii="Arial" w:hAnsi="Arial"/>
                <w:color w:val="auto"/>
                <w:spacing w:val="0"/>
                <w:w w:val="100"/>
                <w:sz w:val="20"/>
                <w:szCs w:val="20"/>
                <w:lang w:val="ro-RO"/>
              </w:rPr>
              <w:t>ciuperci;</w:t>
            </w:r>
          </w:p>
          <w:p>
            <w:pPr>
              <w:pStyle w:val="Normal"/>
              <w:widowControl/>
              <w:numPr>
                <w:ilvl w:val="0"/>
                <w:numId w:val="27"/>
              </w:numPr>
              <w:spacing w:before="0" w:after="0"/>
              <w:rPr>
                <w:rFonts w:ascii="Arial" w:hAnsi="Arial" w:cs="Arial"/>
                <w:b/>
                <w:sz w:val="18"/>
                <w:szCs w:val="18"/>
              </w:rPr>
            </w:pPr>
            <w:r>
              <w:rPr>
                <w:rFonts w:eastAsia="Arial" w:cs="Arial" w:ascii="Arial" w:hAnsi="Arial"/>
                <w:color w:val="auto"/>
                <w:spacing w:val="0"/>
                <w:w w:val="100"/>
                <w:sz w:val="20"/>
                <w:szCs w:val="20"/>
                <w:lang w:val="ro-RO"/>
              </w:rPr>
              <w:t>protozoare.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5.2.Plante periculoase (exemplu: ciuperci otrăvitoare)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5.3.Animale periculoase (exemplu: șerpi veninoși)</w:t>
            </w:r>
          </w:p>
        </w:tc>
      </w:tr>
      <w:tr>
        <w:trPr/>
        <w:tc>
          <w:tcPr>
            <w:tcW w:w="819" w:type="dxa"/>
            <w:tcBorders>
              <w:top w:val="single" w:sz="4" w:space="0" w:color="000000"/>
              <w:left w:val="single" w:sz="4" w:space="0" w:color="000000"/>
              <w:bottom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w:t>
            </w:r>
          </w:p>
        </w:tc>
        <w:tc>
          <w:tcPr>
            <w:tcW w:w="8536" w:type="dxa"/>
            <w:tcBorders>
              <w:top w:val="single" w:sz="4" w:space="0" w:color="000000"/>
              <w:bottom w:val="single" w:sz="4" w:space="0" w:color="000000"/>
              <w:right w:val="single" w:sz="4" w:space="0" w:color="000000"/>
            </w:tcBorders>
            <w:shd w:color="auto" w:fill="E0E0E0" w:val="clea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MEDIU DE MUNCǍ</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FIZIC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 Temperatura aerului: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8"/>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1.2. Umiditatea aerului: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8"/>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1.3. Curenți de aer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1.4. Presiunea aerului:</w:t>
            </w:r>
          </w:p>
          <w:p>
            <w:pPr>
              <w:pStyle w:val="Normal"/>
              <w:widowControl/>
              <w:numPr>
                <w:ilvl w:val="0"/>
                <w:numId w:val="28"/>
              </w:numPr>
              <w:spacing w:before="0" w:after="0"/>
              <w:rPr>
                <w:rFonts w:ascii="Arial" w:hAnsi="Arial" w:cs="Arial"/>
                <w:sz w:val="18"/>
                <w:szCs w:val="18"/>
              </w:rPr>
            </w:pPr>
            <w:r>
              <w:rPr>
                <w:rFonts w:eastAsia="Arial" w:cs="Arial" w:ascii="Arial" w:hAnsi="Arial"/>
                <w:color w:val="auto"/>
                <w:spacing w:val="0"/>
                <w:w w:val="100"/>
                <w:sz w:val="20"/>
                <w:szCs w:val="20"/>
                <w:lang w:val="ro-RO"/>
              </w:rPr>
              <w:t>ridicată;</w:t>
            </w:r>
          </w:p>
          <w:p>
            <w:pPr>
              <w:pStyle w:val="Normal"/>
              <w:widowControl/>
              <w:numPr>
                <w:ilvl w:val="0"/>
                <w:numId w:val="28"/>
              </w:numPr>
              <w:spacing w:before="0" w:after="0"/>
              <w:rPr>
                <w:rFonts w:ascii="Arial" w:hAnsi="Arial" w:cs="Arial"/>
                <w:b/>
                <w:sz w:val="18"/>
                <w:szCs w:val="18"/>
              </w:rPr>
            </w:pPr>
            <w:r>
              <w:rPr>
                <w:rFonts w:eastAsia="Arial" w:cs="Arial" w:ascii="Arial" w:hAnsi="Arial"/>
                <w:color w:val="auto"/>
                <w:spacing w:val="0"/>
                <w:w w:val="100"/>
                <w:sz w:val="20"/>
                <w:szCs w:val="20"/>
                <w:lang w:val="ro-RO"/>
              </w:rPr>
              <w:t>scăzută.</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1.5. Aeroionizarea aerului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1.6. Suprapresiune în adâncimea apelor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1.7. Zgomot</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1.8. Ultrasunete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1.9. Vibrații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1.10. Iluminat:</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nivel de iluminare scăzut;</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strălucire;</w:t>
            </w:r>
          </w:p>
          <w:p>
            <w:pPr>
              <w:pStyle w:val="Normal"/>
              <w:widowControl/>
              <w:numPr>
                <w:ilvl w:val="0"/>
                <w:numId w:val="29"/>
              </w:numPr>
              <w:spacing w:before="0" w:after="0"/>
              <w:rPr>
                <w:rFonts w:ascii="Arial" w:hAnsi="Arial" w:cs="Arial"/>
                <w:sz w:val="18"/>
                <w:szCs w:val="18"/>
              </w:rPr>
            </w:pPr>
            <w:r>
              <w:rPr>
                <w:rFonts w:eastAsia="Arial" w:cs="Arial" w:ascii="Arial" w:hAnsi="Arial"/>
                <w:color w:val="auto"/>
                <w:spacing w:val="0"/>
                <w:w w:val="100"/>
                <w:sz w:val="20"/>
                <w:szCs w:val="20"/>
                <w:lang w:val="ro-RO"/>
              </w:rPr>
              <w:t>pâlpâire.</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 Radiații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1.11.1. Electromagnetice:</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infraroșii;</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ultraviolete;</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microunde;</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înaltă;</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medie;</w:t>
            </w:r>
          </w:p>
          <w:p>
            <w:pPr>
              <w:pStyle w:val="Normal"/>
              <w:widowControl/>
              <w:numPr>
                <w:ilvl w:val="0"/>
                <w:numId w:val="30"/>
              </w:numPr>
              <w:spacing w:before="0" w:after="0"/>
              <w:rPr>
                <w:rFonts w:ascii="Arial" w:hAnsi="Arial" w:cs="Arial"/>
                <w:sz w:val="18"/>
                <w:szCs w:val="18"/>
              </w:rPr>
            </w:pPr>
            <w:r>
              <w:rPr>
                <w:rFonts w:eastAsia="Arial" w:cs="Arial" w:ascii="Arial" w:hAnsi="Arial"/>
                <w:color w:val="auto"/>
                <w:spacing w:val="0"/>
                <w:w w:val="100"/>
                <w:sz w:val="20"/>
                <w:szCs w:val="20"/>
                <w:lang w:val="ro-RO"/>
              </w:rPr>
              <w:t>de frecvență joasă;</w:t>
            </w:r>
          </w:p>
          <w:p>
            <w:pPr>
              <w:pStyle w:val="Normal"/>
              <w:widowControl/>
              <w:numPr>
                <w:ilvl w:val="0"/>
                <w:numId w:val="30"/>
              </w:numPr>
              <w:spacing w:before="0" w:after="0"/>
              <w:rPr>
                <w:rFonts w:ascii="Arial" w:hAnsi="Arial" w:cs="Arial"/>
                <w:b/>
                <w:sz w:val="18"/>
                <w:szCs w:val="18"/>
              </w:rPr>
            </w:pPr>
            <w:r>
              <w:rPr>
                <w:rFonts w:eastAsia="Arial" w:cs="Arial" w:ascii="Arial" w:hAnsi="Arial"/>
                <w:color w:val="auto"/>
                <w:spacing w:val="0"/>
                <w:w w:val="100"/>
                <w:sz w:val="20"/>
                <w:szCs w:val="20"/>
                <w:lang w:val="ro-RO"/>
              </w:rPr>
              <w:t>laser.</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1.11.2. Ionizante:</w:t>
            </w:r>
          </w:p>
          <w:p>
            <w:pPr>
              <w:pStyle w:val="Normal"/>
              <w:widowControl/>
              <w:numPr>
                <w:ilvl w:val="0"/>
                <w:numId w:val="31"/>
              </w:numPr>
              <w:spacing w:before="0" w:after="0"/>
              <w:rPr>
                <w:rFonts w:ascii="Arial" w:hAnsi="Arial" w:cs="Arial"/>
                <w:bCs/>
                <w:sz w:val="18"/>
                <w:szCs w:val="18"/>
              </w:rPr>
            </w:pPr>
            <w:r>
              <w:rPr>
                <w:rFonts w:eastAsia="Arial" w:cs="Arial" w:ascii="Arial" w:hAnsi="Arial"/>
                <w:bCs/>
                <w:color w:val="auto"/>
                <w:spacing w:val="0"/>
                <w:w w:val="100"/>
                <w:sz w:val="20"/>
                <w:szCs w:val="20"/>
                <w:lang w:val="ro-RO"/>
              </w:rPr>
              <w:t>alfa;</w:t>
            </w:r>
          </w:p>
          <w:p>
            <w:pPr>
              <w:pStyle w:val="Normal"/>
              <w:widowControl/>
              <w:numPr>
                <w:ilvl w:val="0"/>
                <w:numId w:val="31"/>
              </w:numPr>
              <w:spacing w:before="0" w:after="0"/>
              <w:rPr>
                <w:rFonts w:ascii="Arial" w:hAnsi="Arial" w:cs="Arial"/>
                <w:bCs/>
                <w:sz w:val="18"/>
                <w:szCs w:val="18"/>
              </w:rPr>
            </w:pPr>
            <w:r>
              <w:rPr>
                <w:rFonts w:eastAsia="Arial" w:cs="Arial" w:ascii="Arial" w:hAnsi="Arial"/>
                <w:bCs/>
                <w:color w:val="auto"/>
                <w:spacing w:val="0"/>
                <w:w w:val="100"/>
                <w:sz w:val="20"/>
                <w:szCs w:val="20"/>
                <w:lang w:val="ro-RO"/>
              </w:rPr>
              <w:t>beta;</w:t>
            </w:r>
          </w:p>
          <w:p>
            <w:pPr>
              <w:pStyle w:val="Normal"/>
              <w:widowControl/>
              <w:numPr>
                <w:ilvl w:val="0"/>
                <w:numId w:val="31"/>
              </w:numPr>
              <w:spacing w:before="0" w:after="0"/>
              <w:rPr>
                <w:rFonts w:ascii="Arial" w:hAnsi="Arial" w:cs="Arial"/>
                <w:b/>
                <w:sz w:val="18"/>
                <w:szCs w:val="18"/>
              </w:rPr>
            </w:pPr>
            <w:r>
              <w:rPr>
                <w:rFonts w:eastAsia="Arial" w:cs="Arial" w:ascii="Arial" w:hAnsi="Arial"/>
                <w:bCs/>
                <w:color w:val="auto"/>
                <w:spacing w:val="0"/>
                <w:w w:val="100"/>
                <w:sz w:val="20"/>
                <w:szCs w:val="20"/>
                <w:lang w:val="ro-RO"/>
              </w:rPr>
              <w:t>gama.</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1.12. Potențial electrostatic</w:t>
            </w:r>
          </w:p>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 xml:space="preserve">1.13. Calamități naturale </w:t>
            </w:r>
            <w:r>
              <w:rPr>
                <w:rFonts w:eastAsia="Arial" w:cs="Arial" w:ascii="Arial" w:hAnsi="Arial"/>
                <w:color w:val="auto"/>
                <w:spacing w:val="0"/>
                <w:w w:val="100"/>
                <w:sz w:val="20"/>
                <w:szCs w:val="20"/>
                <w:lang w:val="ro-RO"/>
              </w:rPr>
              <w:t>(trăsnet, inundație, vânt, grindină, viscol, alunecări, surpări,</w:t>
            </w:r>
          </w:p>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prăbușiri de teren sau copaci, avalanșe, seisme etc.)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1.14. Pulberi pneumoconiogene</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CHIMIC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2.1. Gaze, vapori, aerosoli toxici sau caustici</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2.2. Pulberi în suspensie în aer, gaze sau vapori inflamabili sau explozivi</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FACTORI DE RISC BIOLOGIC</w:t>
            </w:r>
          </w:p>
          <w:p>
            <w:pPr>
              <w:pStyle w:val="Normal"/>
              <w:widowControl/>
              <w:spacing w:before="0" w:after="0"/>
              <w:rPr>
                <w:rFonts w:ascii="Arial" w:hAnsi="Arial" w:cs="Arial"/>
                <w:b/>
                <w:sz w:val="18"/>
                <w:szCs w:val="18"/>
              </w:rPr>
            </w:pPr>
            <w:r>
              <w:rPr>
                <w:rFonts w:eastAsia="Arial" w:cs="Arial" w:ascii="Arial" w:hAnsi="Arial"/>
                <w:b/>
                <w:color w:val="auto"/>
                <w:spacing w:val="0"/>
                <w:w w:val="100"/>
                <w:sz w:val="20"/>
                <w:szCs w:val="20"/>
                <w:lang w:val="ro-RO"/>
              </w:rPr>
              <w:t>3.1. Microorganisme în suspensie în aer:</w:t>
            </w:r>
          </w:p>
          <w:p>
            <w:pPr>
              <w:pStyle w:val="Normal"/>
              <w:widowControl/>
              <w:numPr>
                <w:ilvl w:val="0"/>
                <w:numId w:val="32"/>
              </w:numPr>
              <w:spacing w:before="0" w:after="0"/>
              <w:rPr>
                <w:rFonts w:ascii="Arial" w:hAnsi="Arial" w:cs="Arial"/>
                <w:sz w:val="18"/>
                <w:szCs w:val="18"/>
              </w:rPr>
            </w:pPr>
            <w:r>
              <w:rPr>
                <w:rFonts w:eastAsia="Arial" w:cs="Arial" w:ascii="Arial" w:hAnsi="Arial"/>
                <w:color w:val="auto"/>
                <w:spacing w:val="0"/>
                <w:w w:val="100"/>
                <w:sz w:val="20"/>
                <w:szCs w:val="20"/>
                <w:lang w:val="ro-RO"/>
              </w:rPr>
              <w:t>bacterii;</w:t>
            </w:r>
          </w:p>
          <w:p>
            <w:pPr>
              <w:pStyle w:val="Normal"/>
              <w:widowControl/>
              <w:numPr>
                <w:ilvl w:val="0"/>
                <w:numId w:val="32"/>
              </w:numPr>
              <w:spacing w:before="0" w:after="0"/>
              <w:rPr>
                <w:rFonts w:ascii="Arial" w:hAnsi="Arial" w:cs="Arial"/>
                <w:sz w:val="18"/>
                <w:szCs w:val="18"/>
              </w:rPr>
            </w:pPr>
            <w:r>
              <w:rPr>
                <w:rFonts w:eastAsia="Arial" w:cs="Arial" w:ascii="Arial" w:hAnsi="Arial"/>
                <w:color w:val="auto"/>
                <w:spacing w:val="0"/>
                <w:w w:val="100"/>
                <w:sz w:val="20"/>
                <w:szCs w:val="20"/>
                <w:lang w:val="ro-RO"/>
              </w:rPr>
              <w:t>virusuri;</w:t>
            </w:r>
          </w:p>
          <w:p>
            <w:pPr>
              <w:pStyle w:val="Normal"/>
              <w:widowControl/>
              <w:numPr>
                <w:ilvl w:val="0"/>
                <w:numId w:val="32"/>
              </w:numPr>
              <w:spacing w:before="0" w:after="0"/>
              <w:rPr>
                <w:rFonts w:ascii="Arial" w:hAnsi="Arial" w:cs="Arial"/>
                <w:sz w:val="18"/>
                <w:szCs w:val="18"/>
              </w:rPr>
            </w:pPr>
            <w:r>
              <w:rPr>
                <w:rFonts w:eastAsia="Arial" w:cs="Arial" w:ascii="Arial" w:hAnsi="Arial"/>
                <w:color w:val="auto"/>
                <w:spacing w:val="0"/>
                <w:w w:val="100"/>
                <w:sz w:val="20"/>
                <w:szCs w:val="20"/>
                <w:lang w:val="ro-RO"/>
              </w:rPr>
              <w:t>richeți;</w:t>
            </w:r>
          </w:p>
          <w:p>
            <w:pPr>
              <w:pStyle w:val="Normal"/>
              <w:widowControl/>
              <w:numPr>
                <w:ilvl w:val="0"/>
                <w:numId w:val="32"/>
              </w:numPr>
              <w:spacing w:before="0" w:after="0"/>
              <w:rPr>
                <w:rFonts w:ascii="Arial" w:hAnsi="Arial" w:cs="Arial"/>
                <w:sz w:val="18"/>
                <w:szCs w:val="18"/>
              </w:rPr>
            </w:pPr>
            <w:r>
              <w:rPr>
                <w:rFonts w:eastAsia="Arial" w:cs="Arial" w:ascii="Arial" w:hAnsi="Arial"/>
                <w:color w:val="auto"/>
                <w:spacing w:val="0"/>
                <w:w w:val="100"/>
                <w:sz w:val="20"/>
                <w:szCs w:val="20"/>
                <w:lang w:val="ro-RO"/>
              </w:rPr>
              <w:t>spirochete;</w:t>
            </w:r>
          </w:p>
          <w:p>
            <w:pPr>
              <w:pStyle w:val="Normal"/>
              <w:widowControl/>
              <w:numPr>
                <w:ilvl w:val="0"/>
                <w:numId w:val="32"/>
              </w:numPr>
              <w:spacing w:before="0" w:after="0"/>
              <w:rPr>
                <w:rFonts w:ascii="Arial" w:hAnsi="Arial" w:cs="Arial"/>
                <w:sz w:val="18"/>
                <w:szCs w:val="18"/>
              </w:rPr>
            </w:pPr>
            <w:r>
              <w:rPr>
                <w:rFonts w:eastAsia="Arial" w:cs="Arial" w:ascii="Arial" w:hAnsi="Arial"/>
                <w:color w:val="auto"/>
                <w:spacing w:val="0"/>
                <w:w w:val="100"/>
                <w:sz w:val="20"/>
                <w:szCs w:val="20"/>
                <w:lang w:val="ro-RO"/>
              </w:rPr>
              <w:t>ciuperci;</w:t>
            </w:r>
          </w:p>
          <w:p>
            <w:pPr>
              <w:pStyle w:val="Normal"/>
              <w:widowControl/>
              <w:numPr>
                <w:ilvl w:val="0"/>
                <w:numId w:val="32"/>
              </w:numPr>
              <w:spacing w:before="0" w:after="0"/>
              <w:rPr>
                <w:rFonts w:ascii="Arial" w:hAnsi="Arial" w:cs="Arial"/>
                <w:b/>
                <w:sz w:val="18"/>
                <w:szCs w:val="18"/>
              </w:rPr>
            </w:pPr>
            <w:r>
              <w:rPr>
                <w:rFonts w:eastAsia="Arial" w:cs="Arial" w:ascii="Arial" w:hAnsi="Arial"/>
                <w:color w:val="auto"/>
                <w:spacing w:val="0"/>
                <w:w w:val="100"/>
                <w:sz w:val="20"/>
                <w:szCs w:val="20"/>
                <w:lang w:val="ro-RO"/>
              </w:rPr>
              <w:t>protozoare etc.</w:t>
            </w:r>
          </w:p>
        </w:tc>
      </w:tr>
      <w:tr>
        <w:trPr/>
        <w:tc>
          <w:tcPr>
            <w:tcW w:w="8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853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b/>
                <w:color w:val="auto"/>
                <w:spacing w:val="0"/>
                <w:w w:val="100"/>
                <w:sz w:val="20"/>
                <w:szCs w:val="20"/>
                <w:lang w:val="ro-RO"/>
              </w:rPr>
              <w:t>CARACTERUL SPECIAL AL MEDIULUI</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subteran;</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acvatic;</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subacvatic;</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mlăștinos;</w:t>
            </w:r>
          </w:p>
          <w:p>
            <w:pPr>
              <w:pStyle w:val="Normal"/>
              <w:widowControl/>
              <w:numPr>
                <w:ilvl w:val="0"/>
                <w:numId w:val="33"/>
              </w:numPr>
              <w:spacing w:before="0" w:after="0"/>
              <w:rPr>
                <w:rFonts w:ascii="Arial" w:hAnsi="Arial" w:cs="Arial"/>
                <w:sz w:val="18"/>
                <w:szCs w:val="18"/>
              </w:rPr>
            </w:pPr>
            <w:r>
              <w:rPr>
                <w:rFonts w:eastAsia="Arial" w:cs="Arial" w:ascii="Arial" w:hAnsi="Arial"/>
                <w:color w:val="auto"/>
                <w:spacing w:val="0"/>
                <w:w w:val="100"/>
                <w:sz w:val="20"/>
                <w:szCs w:val="20"/>
                <w:lang w:val="ro-RO"/>
              </w:rPr>
              <w:t>aerian;</w:t>
            </w:r>
          </w:p>
          <w:p>
            <w:pPr>
              <w:pStyle w:val="Normal"/>
              <w:widowControl/>
              <w:numPr>
                <w:ilvl w:val="0"/>
                <w:numId w:val="33"/>
              </w:numPr>
              <w:spacing w:before="0" w:after="0"/>
              <w:rPr>
                <w:rFonts w:ascii="Arial" w:hAnsi="Arial" w:cs="Arial"/>
                <w:b/>
                <w:sz w:val="18"/>
                <w:szCs w:val="18"/>
              </w:rPr>
            </w:pPr>
            <w:r>
              <w:rPr>
                <w:rFonts w:eastAsia="Arial" w:cs="Arial" w:ascii="Arial" w:hAnsi="Arial"/>
                <w:color w:val="auto"/>
                <w:spacing w:val="0"/>
                <w:w w:val="100"/>
                <w:sz w:val="20"/>
                <w:szCs w:val="20"/>
                <w:lang w:val="ro-RO"/>
              </w:rPr>
              <w:t>cosmic etc.</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POȘ 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tblHeader w:val="true"/>
          <w:trHeight w:val="196" w:hRule="atLeast"/>
          <w:cantSpli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trHeight w:val="168"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trHeight w:val="140"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trHeight w:val="122" w:hRule="atLeast"/>
          <w:cantSpli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hanging="5"/>
              <w:jc w:val="center"/>
              <w:rPr>
                <w:rFonts w:ascii="Arial" w:hAnsi="Arial" w:cs="Arial"/>
                <w:b/>
                <w:sz w:val="16"/>
              </w:rPr>
            </w:pPr>
            <w:r>
              <w:rPr>
                <w:rFonts w:eastAsia="Arial" w:cs="Arial" w:ascii="Arial" w:hAnsi="Arial"/>
                <w:b/>
                <w:color w:val="auto"/>
                <w:spacing w:val="0"/>
                <w:w w:val="100"/>
                <w:sz w:val="16"/>
                <w:szCs w:val="16"/>
                <w:lang w:val="ro-RO"/>
              </w:rPr>
              <w:t>Coapsă</w:t>
            </w:r>
          </w:p>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extDirection w:val="btLr"/>
            <w:vAlign w:val="center"/>
          </w:tcPr>
          <w:p>
            <w:pPr>
              <w:pStyle w:val="Normal"/>
              <w:widowControl/>
              <w:spacing w:before="0" w:after="0"/>
              <w:ind w:left="113" w:right="113"/>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trHeight w:val="62" w:hRule="atLeast"/>
          <w:cantSpli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trHeight w:val="257" w:hRule="atLeast"/>
          <w:cantSpli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trHeight w:val="143"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7"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173"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Leziuni ale organ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2" w:hRule="atLeast"/>
          <w:cantSpli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2" w:hRule="atLeast"/>
          <w:cantSpli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bl>
    <w:p>
      <w:pPr>
        <w:pStyle w:val="Normal"/>
        <w:keepNext w:val="true"/>
        <w:widowControl/>
        <w:spacing w:before="0" w:after="0"/>
        <w:ind w:hanging="0"/>
        <w:jc w:val="left"/>
        <w:rPr>
          <w:spacing w:val="28"/>
          <w:sz w:val="8"/>
          <w:szCs w:val="20"/>
        </w:rPr>
      </w:pPr>
      <w:r>
        <w:rPr>
          <w:rFonts w:eastAsia="Arial" w:cs="Arial" w:ascii="Arial" w:hAnsi="Arial"/>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46"/>
        <w:gridCol w:w="567"/>
        <w:gridCol w:w="566"/>
        <w:gridCol w:w="380"/>
        <w:gridCol w:w="577"/>
        <w:gridCol w:w="569"/>
        <w:gridCol w:w="570"/>
        <w:gridCol w:w="760"/>
        <w:gridCol w:w="569"/>
        <w:gridCol w:w="571"/>
        <w:gridCol w:w="570"/>
        <w:gridCol w:w="380"/>
        <w:gridCol w:w="380"/>
        <w:gridCol w:w="570"/>
        <w:gridCol w:w="449"/>
        <w:gridCol w:w="482"/>
        <w:gridCol w:w="595"/>
        <w:gridCol w:w="377"/>
        <w:gridCol w:w="380"/>
        <w:gridCol w:w="381"/>
        <w:gridCol w:w="380"/>
        <w:gridCol w:w="381"/>
        <w:gridCol w:w="382"/>
      </w:tblGrid>
      <w:tr>
        <w:trPr>
          <w:tblHeader w:val="true"/>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4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Cataracta</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Conjuctivite și keratoconjunctivite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4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Afecțiuni psihice / Stres</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82"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5"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4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82"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5"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între 45 – 180 zile care necesită tratament medical și prin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left" w:pos="720" w:leader="none"/>
          <w:tab w:val="left" w:pos="900" w:leader="none"/>
          <w:tab w:val="left" w:pos="1080" w:leader="none"/>
          <w:tab w:val="left" w:pos="1260" w:leader="none"/>
        </w:tabs>
        <w:spacing w:lineRule="auto" w:line="360"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exac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321"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ÎNCADRARE A NIVELURILOR DE RISC/SECURITATE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4379"/>
        <w:gridCol w:w="875"/>
        <w:gridCol w:w="1289"/>
        <w:gridCol w:w="701"/>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4379"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c>
          <w:tcPr>
            <w:tcW w:w="701" w:type="dxa"/>
            <w:tcBorders/>
          </w:tcPr>
          <w:p>
            <w:pPr>
              <w:pStyle w:val="Normal"/>
              <w:widowControl/>
              <w:spacing w:lineRule="atLeast" w:line="0" w:before="0" w:after="0"/>
              <w:rPr>
                <w:sz w:val="2"/>
              </w:rPr>
            </w:pPr>
            <w:r>
              <w:rPr>
                <w:rFonts w:eastAsia="Arial" w:cs="Arial" w:ascii="Arial" w:hAnsi="Arial"/>
                <w:color w:val="auto"/>
                <w:spacing w:val="0"/>
                <w:w w:val="100"/>
                <w:sz w:val="20"/>
                <w:szCs w:val="20"/>
                <w:lang w:val="ro-RO"/>
              </w:rPr>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4379"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4379"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4379"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4379"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4379"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4379"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4379"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701" w:type="dxa"/>
            <w:tcBorders>
              <w:top w:val="dashed" w:sz="4" w:space="0" w:color="000000"/>
              <w:left w:val="single" w:sz="12" w:space="0" w:color="000000"/>
              <w:bottom w:val="dashed" w:sz="4" w:space="0" w:color="000000"/>
              <w:right w:val="dashed" w:sz="4" w:space="0" w:color="000000"/>
            </w:tcBorders>
            <w:shd w:color="auto" w:fill="auto" w:val="clear"/>
          </w:tcPr>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p>
            <w:pPr>
              <w:pStyle w:val="Normal"/>
              <w:widowControl/>
              <w:spacing w:before="0" w:after="0"/>
              <w:rPr>
                <w:rFonts w:ascii="Arial" w:hAnsi="Arial" w:cs="Arial"/>
                <w:sz w:val="22"/>
                <w:szCs w:val="22"/>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true"/>
        <w:widowControl/>
        <w:spacing w:before="0" w:after="0"/>
        <w:ind w:hanging="0"/>
        <w:jc w:val="left"/>
        <w:rPr>
          <w:rFonts w:ascii="Arial" w:hAnsi="Arial" w:cs="Arial"/>
          <w:spacing w:val="28"/>
          <w:sz w:val="2"/>
          <w:szCs w:val="20"/>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2312"/>
        <w:gridCol w:w="7043"/>
      </w:tblGrid>
      <w:tr>
        <w:trPr>
          <w:tblHeader w:val="true"/>
          <w:trHeight w:val="50" w:hRule="atLeast"/>
        </w:trPr>
        <w:tc>
          <w:tcPr>
            <w:tcW w:w="9355" w:type="dxa"/>
            <w:gridSpan w:val="2"/>
            <w:tcBorders>
              <w:top w:val="single" w:sz="12" w:space="0" w:color="000000"/>
              <w:left w:val="single" w:sz="12" w:space="0" w:color="000000"/>
              <w:bottom w:val="single" w:sz="6" w:space="0" w:color="000000"/>
              <w:right w:val="single" w:sz="12" w:space="0" w:color="000000"/>
            </w:tcBorders>
            <w:shd w:color="auto" w:fill="D9D9D9"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PRIMARE (măsuri de ordinul întâi)</w:t>
            </w:r>
          </w:p>
        </w:tc>
      </w:tr>
      <w:tr>
        <w:trPr>
          <w:trHeight w:val="822" w:hRule="atLeast"/>
        </w:trPr>
        <w:tc>
          <w:tcPr>
            <w:tcW w:w="2312"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6985" distB="6985" distL="6350" distR="6350" simplePos="0" relativeHeight="13" behindDoc="0" locked="0" layoutInCell="1" allowOverlap="1" wp14:anchorId="6FA19AD0">
                      <wp:simplePos x="0" y="0"/>
                      <wp:positionH relativeFrom="column">
                        <wp:posOffset>169545</wp:posOffset>
                      </wp:positionH>
                      <wp:positionV relativeFrom="paragraph">
                        <wp:posOffset>108585</wp:posOffset>
                      </wp:positionV>
                      <wp:extent cx="333375" cy="344170"/>
                      <wp:effectExtent l="6350" t="6985" r="6350" b="6985"/>
                      <wp:wrapNone/>
                      <wp:docPr id="7" name="Line 757"/>
                      <a:graphic xmlns:a="http://schemas.openxmlformats.org/drawingml/2006/main">
                        <a:graphicData uri="http://schemas.microsoft.com/office/word/2010/wordprocessingShape">
                          <wps:wsp>
                            <wps:cNvSpPr/>
                            <wps:spPr>
                              <a:xfrm>
                                <a:off x="0" y="0"/>
                                <a:ext cx="333360" cy="344160"/>
                              </a:xfrm>
                              <a:prstGeom prst="line">
                                <a:avLst/>
                              </a:prstGeom>
                              <a:ln w="12700">
                                <a:solidFill>
                                  <a:srgbClr val="000000"/>
                                </a:solidFill>
                                <a:round/>
                              </a:ln>
                            </wps:spPr>
                            <wps:style>
                              <a:lnRef idx="0"/>
                              <a:fillRef idx="0"/>
                              <a:effectRef idx="0"/>
                              <a:fontRef idx="minor"/>
                            </wps:style>
                            <wps:bodyPr/>
                          </wps:wsp>
                        </a:graphicData>
                      </a:graphic>
                    </wp:anchor>
                  </w:drawing>
                </mc:Choice>
                <mc:Fallback>
                  <w:pict>
                    <v:line id="shape_0" from="13.35pt,8.55pt" to="39.55pt,35.6pt" stroked="t" o:allowincell="t" style="position:absolute" wp14:anchorId="6FA19AD0">
                      <v:stroke color="black" weight="12600" joinstyle="round" endcap="flat"/>
                      <v:fill o:detectmouseclick="t" on="false"/>
                      <w10:wrap type="none"/>
                    </v:line>
                  </w:pict>
                </mc:Fallback>
              </mc:AlternateContent>
              <mc:AlternateContent>
                <mc:Choice Requires="wps">
                  <w:drawing>
                    <wp:anchor distT="6985" distB="6350" distL="6350" distR="6985" simplePos="0" relativeHeight="14" behindDoc="0" locked="0" layoutInCell="1" allowOverlap="1" wp14:anchorId="60239CDE">
                      <wp:simplePos x="0" y="0"/>
                      <wp:positionH relativeFrom="column">
                        <wp:posOffset>169545</wp:posOffset>
                      </wp:positionH>
                      <wp:positionV relativeFrom="paragraph">
                        <wp:posOffset>108585</wp:posOffset>
                      </wp:positionV>
                      <wp:extent cx="330835" cy="330835"/>
                      <wp:effectExtent l="6350" t="6985" r="6985" b="6350"/>
                      <wp:wrapNone/>
                      <wp:docPr id="8" name="Line 756"/>
                      <a:graphic xmlns:a="http://schemas.openxmlformats.org/drawingml/2006/main">
                        <a:graphicData uri="http://schemas.microsoft.com/office/word/2010/wordprocessingShape">
                          <wps:wsp>
                            <wps:cNvSpPr/>
                            <wps:spPr>
                              <a:xfrm flipH="1">
                                <a:off x="0" y="0"/>
                                <a:ext cx="330840" cy="330840"/>
                              </a:xfrm>
                              <a:prstGeom prst="line">
                                <a:avLst/>
                              </a:prstGeom>
                              <a:ln w="12700">
                                <a:solidFill>
                                  <a:srgbClr val="000000"/>
                                </a:solidFill>
                                <a:round/>
                              </a:ln>
                            </wps:spPr>
                            <wps:style>
                              <a:lnRef idx="0"/>
                              <a:fillRef idx="0"/>
                              <a:effectRef idx="0"/>
                              <a:fontRef idx="minor"/>
                            </wps:style>
                            <wps:bodyPr/>
                          </wps:wsp>
                        </a:graphicData>
                      </a:graphic>
                    </wp:anchor>
                  </w:drawing>
                </mc:Choice>
                <mc:Fallback>
                  <w:pict>
                    <v:line id="shape_0" from="13.35pt,8.55pt" to="39.35pt,34.55pt" stroked="t" o:allowincell="t" style="position:absolute;flip:x" wp14:anchorId="60239CDE">
                      <v:stroke color="black" weight="12600" joinstyle="round" endcap="flat"/>
                      <v:fill o:detectmouseclick="t" on="false"/>
                      <w10:wrap type="none"/>
                    </v:line>
                  </w:pict>
                </mc:Fallback>
              </mc:AlternateContent>
              <mc:AlternateContent>
                <mc:Choice Requires="wps">
                  <w:drawing>
                    <wp:anchor distT="24765" distB="25400" distL="0" distR="5080" simplePos="0" relativeHeight="15" behindDoc="0" locked="0" layoutInCell="1" allowOverlap="1" wp14:anchorId="594ABA3D">
                      <wp:simplePos x="0" y="0"/>
                      <wp:positionH relativeFrom="column">
                        <wp:posOffset>640080</wp:posOffset>
                      </wp:positionH>
                      <wp:positionV relativeFrom="paragraph">
                        <wp:posOffset>290195</wp:posOffset>
                      </wp:positionV>
                      <wp:extent cx="219710" cy="635"/>
                      <wp:effectExtent l="0" t="24765" r="5080" b="25400"/>
                      <wp:wrapNone/>
                      <wp:docPr id="9" name="Line 752"/>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22.85pt" to="67.65pt,22.85pt" stroked="t" o:allowincell="t" style="position:absolute" wp14:anchorId="594ABA3D">
                      <v:stroke color="black" weight="9360" startarrow="block" startarrowwidth="narrow" startarrowlength="medium" joinstyle="round" endcap="flat"/>
                      <v:fill o:detectmouseclick="t" on="false"/>
                      <w10:wrap type="none"/>
                    </v:line>
                  </w:pict>
                </mc:Fallback>
              </mc:AlternateContent>
              <mc:AlternateContent>
                <mc:Choice Requires="wps">
                  <w:drawing>
                    <wp:anchor distT="25400" distB="24765" distL="5080" distR="0" simplePos="0" relativeHeight="17" behindDoc="0" locked="0" layoutInCell="1" allowOverlap="1" wp14:anchorId="7E75C392">
                      <wp:simplePos x="0" y="0"/>
                      <wp:positionH relativeFrom="column">
                        <wp:posOffset>640080</wp:posOffset>
                      </wp:positionH>
                      <wp:positionV relativeFrom="paragraph">
                        <wp:posOffset>185420</wp:posOffset>
                      </wp:positionV>
                      <wp:extent cx="219710" cy="635"/>
                      <wp:effectExtent l="5080" t="25400" r="0" b="24765"/>
                      <wp:wrapNone/>
                      <wp:docPr id="10" name="Line 748"/>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14.6pt" to="67.65pt,14.6pt" stroked="t" o:allowincell="t" style="position:absolute" wp14:anchorId="7E75C392">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3"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ELIMINAREA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MĂSURILE TREBUIE SĂ ACȚIONEZE DIRECT ASUPRA SURSEI DE FACTORI DE RISC</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(PREVENIRE INTRINSECĂ)</w:t>
            </w:r>
          </w:p>
        </w:tc>
      </w:tr>
      <w:tr>
        <w:trPr>
          <w:trHeight w:val="65"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SECUNDARE (măsuri de ordinul doi)</w:t>
            </w:r>
          </w:p>
        </w:tc>
      </w:tr>
      <w:tr>
        <w:trPr>
          <w:trHeight w:val="1353" w:hRule="atLeast"/>
        </w:trPr>
        <w:tc>
          <w:tcPr>
            <w:tcW w:w="2312"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8" behindDoc="0" locked="0" layoutInCell="1" allowOverlap="1" wp14:anchorId="2121E247">
                      <wp:simplePos x="0" y="0"/>
                      <wp:positionH relativeFrom="column">
                        <wp:posOffset>640080</wp:posOffset>
                      </wp:positionH>
                      <wp:positionV relativeFrom="paragraph">
                        <wp:posOffset>455295</wp:posOffset>
                      </wp:positionV>
                      <wp:extent cx="219710" cy="635"/>
                      <wp:effectExtent l="0" t="25400" r="5080" b="24765"/>
                      <wp:wrapNone/>
                      <wp:docPr id="11" name="Line 753"/>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2121E247">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10" behindDoc="0" locked="0" layoutInCell="1" allowOverlap="1" wp14:anchorId="775B298D">
                      <wp:simplePos x="0" y="0"/>
                      <wp:positionH relativeFrom="column">
                        <wp:posOffset>640080</wp:posOffset>
                      </wp:positionH>
                      <wp:positionV relativeFrom="paragraph">
                        <wp:posOffset>366395</wp:posOffset>
                      </wp:positionV>
                      <wp:extent cx="219710" cy="635"/>
                      <wp:effectExtent l="5080" t="24765" r="0" b="25400"/>
                      <wp:wrapNone/>
                      <wp:docPr id="12" name="Line 749"/>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775B298D">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3"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IZOLAREA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FACTORII DE RISC PERSISTĂ, DAR PRIN MĂSURI DE PROTECȚIE COLECTIVĂ SE EVITĂ SAU DIMINUEAZĂ ACȚIUNEA LOR ASUPRA OMULUI</w:t>
            </w:r>
          </w:p>
        </w:tc>
      </w:tr>
      <w:tr>
        <w:trPr>
          <w:trHeight w:val="192"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TERȚIARE (măsuri de ordinul trei)</w:t>
            </w:r>
          </w:p>
        </w:tc>
      </w:tr>
      <w:tr>
        <w:trPr>
          <w:trHeight w:val="1227" w:hRule="atLeast"/>
        </w:trPr>
        <w:tc>
          <w:tcPr>
            <w:tcW w:w="2312" w:type="dxa"/>
            <w:tcBorders>
              <w:top w:val="single" w:sz="6" w:space="0" w:color="000000"/>
              <w:left w:val="single" w:sz="12" w:space="0" w:color="000000"/>
              <w:bottom w:val="single" w:sz="6" w:space="0" w:color="000000"/>
              <w:right w:val="single" w:sz="6" w:space="0" w:color="000000"/>
            </w:tcBorders>
          </w:tcPr>
          <w:p>
            <w:pPr>
              <w:pStyle w:val="Normal"/>
              <w:keepNext w:val="true"/>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7" behindDoc="0" locked="0" layoutInCell="1" allowOverlap="1" wp14:anchorId="74D5CE18">
                      <wp:simplePos x="0" y="0"/>
                      <wp:positionH relativeFrom="column">
                        <wp:posOffset>640080</wp:posOffset>
                      </wp:positionH>
                      <wp:positionV relativeFrom="paragraph">
                        <wp:posOffset>455295</wp:posOffset>
                      </wp:positionV>
                      <wp:extent cx="219710" cy="635"/>
                      <wp:effectExtent l="0" t="25400" r="5080" b="24765"/>
                      <wp:wrapNone/>
                      <wp:docPr id="13" name="Line 754"/>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74D5CE18">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11" behindDoc="0" locked="0" layoutInCell="1" allowOverlap="1" wp14:anchorId="39C8F8D8">
                      <wp:simplePos x="0" y="0"/>
                      <wp:positionH relativeFrom="column">
                        <wp:posOffset>640080</wp:posOffset>
                      </wp:positionH>
                      <wp:positionV relativeFrom="paragraph">
                        <wp:posOffset>366395</wp:posOffset>
                      </wp:positionV>
                      <wp:extent cx="219710" cy="635"/>
                      <wp:effectExtent l="5080" t="24765" r="0" b="25400"/>
                      <wp:wrapNone/>
                      <wp:docPr id="14" name="Line 750"/>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39C8F8D8">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3"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EVITAREA RISCURILOR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INTERACȚIUNEA DINTRE FACTORII DE RISC ȘI OM SE EVITĂ PRIN MĂSURI ORGANIZATORICE ȘI</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REGLEMENTĂRI PRIVIND COMPORTAMENTUL</w:t>
            </w:r>
          </w:p>
        </w:tc>
      </w:tr>
      <w:tr>
        <w:trPr>
          <w:trHeight w:val="65" w:hRule="atLeast"/>
        </w:trPr>
        <w:tc>
          <w:tcPr>
            <w:tcW w:w="9355" w:type="dxa"/>
            <w:gridSpan w:val="2"/>
            <w:tcBorders>
              <w:top w:val="single" w:sz="6" w:space="0" w:color="000000"/>
              <w:left w:val="single" w:sz="12" w:space="0" w:color="000000"/>
              <w:bottom w:val="single" w:sz="6" w:space="0" w:color="000000"/>
              <w:right w:val="single" w:sz="12"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MĂSURI CUATERNARE (măsuri de ordinul patru)</w:t>
            </w:r>
          </w:p>
        </w:tc>
      </w:tr>
      <w:tr>
        <w:trPr>
          <w:trHeight w:val="1353" w:hRule="atLeast"/>
        </w:trPr>
        <w:tc>
          <w:tcPr>
            <w:tcW w:w="2312" w:type="dxa"/>
            <w:tcBorders>
              <w:top w:val="single" w:sz="6" w:space="0" w:color="000000"/>
              <w:left w:val="single" w:sz="12" w:space="0" w:color="000000"/>
              <w:bottom w:val="single" w:sz="12" w:space="0" w:color="000000"/>
              <w:right w:val="single" w:sz="6" w:space="0" w:color="000000"/>
            </w:tcBorders>
          </w:tcPr>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mc:AlternateContent>
                <mc:Choice Requires="wps">
                  <w:drawing>
                    <wp:anchor distT="25400" distB="24765" distL="0" distR="5080" simplePos="0" relativeHeight="9" behindDoc="0" locked="0" layoutInCell="1" allowOverlap="1" wp14:anchorId="4D4E06FD">
                      <wp:simplePos x="0" y="0"/>
                      <wp:positionH relativeFrom="column">
                        <wp:posOffset>640080</wp:posOffset>
                      </wp:positionH>
                      <wp:positionV relativeFrom="paragraph">
                        <wp:posOffset>455295</wp:posOffset>
                      </wp:positionV>
                      <wp:extent cx="219710" cy="635"/>
                      <wp:effectExtent l="0" t="25400" r="5080" b="24765"/>
                      <wp:wrapNone/>
                      <wp:docPr id="15" name="Line 755"/>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headEnd len="med" type="triangle" w="sm"/>
                              </a:ln>
                            </wps:spPr>
                            <wps:style>
                              <a:lnRef idx="0"/>
                              <a:fillRef idx="0"/>
                              <a:effectRef idx="0"/>
                              <a:fontRef idx="minor"/>
                            </wps:style>
                            <wps:bodyPr/>
                          </wps:wsp>
                        </a:graphicData>
                      </a:graphic>
                    </wp:anchor>
                  </w:drawing>
                </mc:Choice>
                <mc:Fallback>
                  <w:pict>
                    <v:line id="shape_0" from="50.4pt,35.85pt" to="67.65pt,35.85pt" stroked="t" o:allowincell="t" style="position:absolute" wp14:anchorId="4D4E06FD">
                      <v:stroke color="black" weight="9360" startarrow="block" startarrowwidth="narrow" startarrowlength="medium" joinstyle="round" endcap="flat"/>
                      <v:fill o:detectmouseclick="t" on="false"/>
                      <w10:wrap type="none"/>
                    </v:line>
                  </w:pict>
                </mc:Fallback>
              </mc:AlternateContent>
              <mc:AlternateContent>
                <mc:Choice Requires="wps">
                  <w:drawing>
                    <wp:anchor distT="24765" distB="25400" distL="5080" distR="0" simplePos="0" relativeHeight="12" behindDoc="0" locked="0" layoutInCell="1" allowOverlap="1" wp14:anchorId="48287428">
                      <wp:simplePos x="0" y="0"/>
                      <wp:positionH relativeFrom="column">
                        <wp:posOffset>640080</wp:posOffset>
                      </wp:positionH>
                      <wp:positionV relativeFrom="paragraph">
                        <wp:posOffset>366395</wp:posOffset>
                      </wp:positionV>
                      <wp:extent cx="219710" cy="635"/>
                      <wp:effectExtent l="5080" t="24765" r="0" b="25400"/>
                      <wp:wrapNone/>
                      <wp:docPr id="16" name="Line 751"/>
                      <a:graphic xmlns:a="http://schemas.openxmlformats.org/drawingml/2006/main">
                        <a:graphicData uri="http://schemas.microsoft.com/office/word/2010/wordprocessingShape">
                          <wps:wsp>
                            <wps:cNvSpPr/>
                            <wps:spPr>
                              <a:xfrm>
                                <a:off x="0" y="0"/>
                                <a:ext cx="219600" cy="720"/>
                              </a:xfrm>
                              <a:prstGeom prst="line">
                                <a:avLst/>
                              </a:prstGeom>
                              <a:ln w="9525">
                                <a:solidFill>
                                  <a:srgbClr val="000000"/>
                                </a:solidFill>
                                <a:round/>
                                <a:tailEnd len="med" type="triangle" w="sm"/>
                              </a:ln>
                            </wps:spPr>
                            <wps:style>
                              <a:lnRef idx="0"/>
                              <a:fillRef idx="0"/>
                              <a:effectRef idx="0"/>
                              <a:fontRef idx="minor"/>
                            </wps:style>
                            <wps:bodyPr/>
                          </wps:wsp>
                        </a:graphicData>
                      </a:graphic>
                    </wp:anchor>
                  </w:drawing>
                </mc:Choice>
                <mc:Fallback>
                  <w:pict>
                    <v:line id="shape_0" from="50.4pt,28.85pt" to="67.65pt,28.85pt" stroked="t" o:allowincell="t" style="position:absolute" wp14:anchorId="48287428">
                      <v:stroke color="black" weight="9360" endarrow="block" endarrowwidth="narrow" endarrowlength="medium" joinstyle="round" endcap="flat"/>
                      <v:fill o:detectmouseclick="t" on="false"/>
                      <w10:wrap type="none"/>
                    </v:line>
                  </w:pict>
                </mc:Fallback>
              </mc:AlternateContent>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r>
          </w:p>
          <w:p>
            <w:pPr>
              <w:pStyle w:val="Normal"/>
              <w:widowControl/>
              <w:spacing w:before="0" w:after="0"/>
              <w:jc w:val="center"/>
              <w:rPr>
                <w:rFonts w:ascii="Arial" w:hAnsi="Arial" w:cs="Arial"/>
                <w:b/>
              </w:rPr>
            </w:pPr>
            <w:r>
              <w:rPr>
                <w:rFonts w:eastAsia="Arial" w:cs="Arial" w:ascii="Arial" w:hAnsi="Arial"/>
                <w:b/>
                <w:color w:val="auto"/>
                <w:spacing w:val="0"/>
                <w:w w:val="100"/>
                <w:sz w:val="20"/>
                <w:szCs w:val="20"/>
                <w:lang w:val="ro-RO"/>
              </w:rPr>
              <w:t>RISC OM</w:t>
            </w:r>
          </w:p>
        </w:tc>
        <w:tc>
          <w:tcPr>
            <w:tcW w:w="7043"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IZOLAREA OMULUI</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LIMITAREA ACȚIUNII FACTORILOR DE RISC SE FACE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PRIN PROTECȚIE INDIVIDUALĂ</w:t>
            </w:r>
          </w:p>
        </w:tc>
      </w:tr>
    </w:tbl>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 xml:space="preserve">Darabont, Al., Darabont, D., Constantin, G., Darabont, D., </w:t>
      </w:r>
      <w:r>
        <w:rPr>
          <w:rFonts w:eastAsia="Arial" w:cs="Arial" w:ascii="Arial" w:hAnsi="Arial"/>
          <w:i/>
          <w:color w:val="auto"/>
          <w:spacing w:val="0"/>
          <w:w w:val="100"/>
          <w:sz w:val="20"/>
          <w:szCs w:val="20"/>
          <w:lang w:val="ro-RO"/>
        </w:rPr>
        <w:t xml:space="preserve">Evaluarea calității de securitate a echipamentelor tehnice, </w:t>
      </w:r>
      <w:r>
        <w:rPr>
          <w:rFonts w:eastAsia="Arial" w:cs="Arial" w:ascii="Arial" w:hAnsi="Arial"/>
          <w:color w:val="auto"/>
          <w:spacing w:val="0"/>
          <w:w w:val="100"/>
          <w:sz w:val="20"/>
          <w:szCs w:val="20"/>
          <w:lang w:val="ro-RO"/>
        </w:rPr>
        <w:t>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Legea nr. 319 /2006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privind aprobarea Normelor Metodologice de aplicare a Legii nr. 319/ 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H.G.259/2022 </w:t>
      </w:r>
      <w:r>
        <w:rPr>
          <w:rFonts w:eastAsia="Arial" w:cs="Arial" w:ascii="Arial" w:hAnsi="Arial"/>
          <w:bCs/>
          <w:color w:val="auto"/>
          <w:spacing w:val="0"/>
          <w:w w:val="100"/>
          <w:sz w:val="20"/>
          <w:szCs w:val="20"/>
          <w:lang w:val="ro-RO"/>
        </w:rPr>
        <w:t>pentru modificarea și completarea Normelor metodologice de aplicare a prevederilor Legii securității și sănătății în muncă nr. 319/2006, aprobate prin Hotărârea Guvernului nr. 1.425/2006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tbl>
      <w:tblPr>
        <w:tblW w:w="5000" w:type="pct"/>
        <w:jc w:val="left"/>
        <w:tblInd w:w="55" w:type="dxa"/>
        <w:tblLayout w:type="fixed"/>
        <w:tblCellMar>
          <w:top w:w="55" w:type="dxa"/>
          <w:left w:w="55" w:type="dxa"/>
          <w:bottom w:w="55" w:type="dxa"/>
          <w:right w:w="55" w:type="dxa"/>
        </w:tblCellMar>
      </w:tblPr>
      <w:tblGrid>
        <w:gridCol w:w="825"/>
        <w:gridCol w:w="2752"/>
        <w:gridCol w:w="5778"/>
      </w:tblGrid>
      <w:tr>
        <w:trPr>
          <w:tblHeader w:val="true"/>
        </w:trPr>
        <w:tc>
          <w:tcPr>
            <w:tcW w:w="82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7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 evaluat</w:t>
            </w:r>
          </w:p>
        </w:tc>
        <w:tc>
          <w:tcPr>
            <w:tcW w:w="577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Conținutul componentei sistemului de muncă evaluat</w:t>
            </w:r>
          </w:p>
        </w:tc>
      </w:tr>
      <w:tr>
        <w:trPr/>
        <w:tc>
          <w:tcPr>
            <w:tcW w:w="825" w:type="dxa"/>
            <w:tcBorders>
              <w:left w:val="single" w:sz="4" w:space="0" w:color="000000"/>
              <w:bottom w:val="single" w:sz="4" w:space="0" w:color="000000"/>
            </w:tcBorders>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752"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EXECUTANT</w:t>
            </w:r>
          </w:p>
        </w:tc>
        <w:tc>
          <w:tcPr>
            <w:tcW w:w="577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{{workSystem.executant}}</w:t>
            </w:r>
          </w:p>
        </w:tc>
      </w:tr>
      <w:tr>
        <w:trPr/>
        <w:tc>
          <w:tcPr>
            <w:tcW w:w="825" w:type="dxa"/>
            <w:tcBorders>
              <w:left w:val="single" w:sz="4" w:space="0" w:color="000000"/>
              <w:bottom w:val="single" w:sz="4" w:space="0" w:color="000000"/>
            </w:tcBorders>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752"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SARCINA DE MUNCĂ</w:t>
            </w:r>
          </w:p>
        </w:tc>
        <w:tc>
          <w:tcPr>
            <w:tcW w:w="577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{{workSystem.workTask}}</w:t>
            </w:r>
          </w:p>
        </w:tc>
      </w:tr>
      <w:tr>
        <w:trPr/>
        <w:tc>
          <w:tcPr>
            <w:tcW w:w="825" w:type="dxa"/>
            <w:tcBorders>
              <w:left w:val="single" w:sz="4" w:space="0" w:color="000000"/>
              <w:bottom w:val="single" w:sz="4" w:space="0" w:color="000000"/>
            </w:tcBorders>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752"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MIJLOACELE DE PRODUCȚIE</w:t>
            </w:r>
          </w:p>
        </w:tc>
        <w:tc>
          <w:tcPr>
            <w:tcW w:w="577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{{workSystem.meansOfProduction}}</w:t>
            </w:r>
          </w:p>
        </w:tc>
      </w:tr>
      <w:tr>
        <w:trPr/>
        <w:tc>
          <w:tcPr>
            <w:tcW w:w="82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752"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MEDIUL DE MUNCĂ</w:t>
            </w:r>
          </w:p>
        </w:tc>
        <w:tc>
          <w:tcPr>
            <w:tcW w:w="577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{{workSystem.workEnvironment}}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III. FIȘA DE EVALUARE A RISCURILOR DE ACCIDENTARE ȘI/SAU ÎMBOLNĂVIRE PROFESIONALĂ</w:t>
      </w:r>
    </w:p>
    <w:tbl>
      <w:tblPr>
        <w:tblW w:w="5000" w:type="pct"/>
        <w:jc w:val="left"/>
        <w:tblInd w:w="55" w:type="dxa"/>
        <w:tblLayout w:type="fixed"/>
        <w:tblCellMar>
          <w:top w:w="55" w:type="dxa"/>
          <w:left w:w="55" w:type="dxa"/>
          <w:bottom w:w="55" w:type="dxa"/>
          <w:right w:w="55" w:type="dxa"/>
        </w:tblCellMar>
      </w:tblPr>
      <w:tblGrid>
        <w:gridCol w:w="1760"/>
        <w:gridCol w:w="3192"/>
        <w:gridCol w:w="1871"/>
        <w:gridCol w:w="2532"/>
      </w:tblGrid>
      <w:tr>
        <w:trPr/>
        <w:tc>
          <w:tcPr>
            <w:tcW w:w="17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UNITATEA:</w:t>
            </w:r>
          </w:p>
        </w:tc>
        <w:tc>
          <w:tcPr>
            <w:tcW w:w="319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{{client.legalName}}</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PERSOANE EXPUSE:</w:t>
            </w:r>
          </w:p>
        </w:tc>
        <w:tc>
          <w:tcPr>
            <w:tcW w:w="253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{{exposedPersons}}</w:t>
            </w:r>
          </w:p>
        </w:tc>
      </w:tr>
      <w:tr>
        <w:trPr/>
        <w:tc>
          <w:tcPr>
            <w:tcW w:w="1760"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w:t>
            </w:r>
          </w:p>
        </w:tc>
        <w:tc>
          <w:tcPr>
            <w:tcW w:w="319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1871"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DURATA EXPUNERII:</w:t>
            </w:r>
          </w:p>
        </w:tc>
        <w:tc>
          <w:tcPr>
            <w:tcW w:w="2532" w:type="dxa"/>
            <w:tcBorders>
              <w:left w:val="single" w:sz="4" w:space="0" w:color="000000"/>
              <w:bottom w:val="single" w:sz="4" w:space="0" w:color="000000"/>
              <w:right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{{exposure}}</w:t>
            </w:r>
          </w:p>
        </w:tc>
      </w:tr>
      <w:tr>
        <w:trPr/>
        <w:tc>
          <w:tcPr>
            <w:tcW w:w="1760"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POSTUL DE LUCRU:</w:t>
            </w:r>
          </w:p>
        </w:tc>
        <w:tc>
          <w:tcPr>
            <w:tcW w:w="3192"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1871"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ECHIPA DE EVALUARE:</w:t>
            </w:r>
          </w:p>
        </w:tc>
        <w:tc>
          <w:tcPr>
            <w:tcW w:w="2532" w:type="dxa"/>
            <w:tcBorders>
              <w:left w:val="single" w:sz="4" w:space="0" w:color="000000"/>
              <w:bottom w:val="single" w:sz="4" w:space="0" w:color="000000"/>
              <w:right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{{#evaluationTeam}}{{name}} ({{jobTitle}}), {{/evaluationTeam}}{{specialist.name}} ({{specialist.professionalTitle}})</w:t>
            </w:r>
          </w:p>
        </w:tc>
      </w:tr>
    </w:tbl>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Niciunul dintre factorii de risc identificați nu depășește nivelul de risc 3, astfel încât fișa nu cuprinde factori de risc din domeniul inacceptabil.</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{{#unacceptable}}{{$index}}.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{{measures}}{{/unacceptable}}</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ultima veriga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Se menționează ca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Analiza s-a făcut prin examinarea tuturor activităților declarate de angajator ca se desfășoară în cadrul {{client.legalName}} ținându-se seama de situația existentă la data evaluării (metode de lucru, personal existent, dotare, condiții de mediu, dotare tehnică,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Solidarității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tru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Însușirea și respectarea normelor de protecție a muncii și măsurile de aplicare a acestora;</w:t>
      </w:r>
    </w:p>
    <w:p>
      <w:pPr>
        <w:pStyle w:val="Normal"/>
        <w:keepNext w:val="tru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tru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cunoștința a conducătorului locului de muncă despre orice defecțiune tehnică sau altă situație care constituie un pericol de accidentare sau îmbolnăvire profesională;</w:t>
      </w:r>
    </w:p>
    <w:p>
      <w:pPr>
        <w:pStyle w:val="Normal"/>
        <w:keepNext w:val="tru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tru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tru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Completarea semnalizării de securitate și/sau sănătate în muncă: marcarea prizelor, marcarea tablourilor, marcarea elementelor electrice, marcarea căilor de acces;</w:t>
      </w:r>
    </w:p>
    <w:p>
      <w:pPr>
        <w:pStyle w:val="Normal"/>
        <w:keepNext w:val="tru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tru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tru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facilitatilor prevăzute de legislația în vigoare în cazul temperaturilor extreme: perioada caldă(apa minerală carbogazoasă - 2-4 l/ persoana / zi); perioada rece ceai - 0.5 l / persoana/zi);</w:t>
      </w:r>
    </w:p>
    <w:p>
      <w:pPr>
        <w:pStyle w:val="Normal"/>
        <w:keepNext w:val="tru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tru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Elaborarea planului de prevenire și protecție;</w:t>
      </w:r>
    </w:p>
    <w:p>
      <w:pPr>
        <w:pStyle w:val="Normal"/>
        <w:keepNext w:val="tru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Locul de muncă /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Lucrătorii au fost consultați și au participat la evaluarea riscurilor, potrivit art. 18 din Legea nr.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Evaluarea riscurilor se revizuiește, împreună cu planul de prevenire și protecție care decurge din ea, ori de câte ori intervin modificări ale condițiilor de muncă, respectiv la apariția unor riscuri noi și în urma producerii unui eveniment (art. 46 alin. (1) din H.G. nr.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