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ecisionNumbers.instructions}}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 Art. 19 alin. (1) lit. g) și Art. 22 și ale OMAI 163/2007 – Art. 17 lit. b), Art. 23 lit. c) și Art. 33 – 35, {{client.representativeName}}, în calitate de {{client.representativeRole}} în cadrul</w:t>
      </w:r>
      <w:r>
        <w:rPr>
          <w:rFonts w:eastAsia="Arial" w:cs="Arial" w:ascii="Arial" w:hAnsi="Arial"/>
          <w:color w:val="auto"/>
          <w:spacing w:val="0"/>
          <w:w w:val="100"/>
          <w:sz w:val="20"/>
          <w:szCs w:val="20"/>
          <w:lang w:val="ro-RO"/>
        </w:rPr>
        <w:t xml:space="preserve"> {{client.legalName}}, î</w:t>
      </w:r>
      <w:r>
        <w:rPr>
          <w:rFonts w:eastAsia="Arial" w:cs="Arial" w:ascii="Arial" w:hAnsi="Arial"/>
          <w:color w:val="auto"/>
          <w:spacing w:val="0"/>
          <w:w w:val="100"/>
          <w:sz w:val="20"/>
          <w:szCs w:val="20"/>
          <w:lang w:val="ro-RO"/>
        </w:rPr>
        <w:t>ncepând cu data</w:t>
      </w:r>
      <w:r>
        <w:rPr>
          <w:rFonts w:eastAsia="Arial" w:cs="Arial" w:ascii="Arial" w:hAnsi="Arial"/>
          <w:color w:val="auto"/>
          <w:spacing w:val="0"/>
          <w:w w:val="100"/>
          <w:sz w:val="20"/>
          <w:szCs w:val="20"/>
          <w:lang w:val="ro-RO"/>
        </w:rPr>
        <w:t xml:space="preserve"> de {{issueDa</w:t>
      </w:r>
      <w:r>
        <w:rPr>
          <w:rFonts w:eastAsia="Arial" w:cs="Arial" w:ascii="Arial" w:hAnsi="Arial"/>
          <w:color w:val="auto"/>
          <w:spacing w:val="0"/>
          <w:w w:val="100"/>
          <w:sz w:val="20"/>
          <w:szCs w:val="20"/>
          <w:lang w:val="ro-RO"/>
        </w:rPr>
        <w:t>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și atribuțiile salariaților la locurile de muncă, pe capitole, după cum urmează:</w:t>
      </w:r>
    </w:p>
    <w:p>
      <w:pPr>
        <w:pStyle w:val="Normal"/>
        <w:keepNext w:val="fals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 Instrucțiuni de apărare împotriva incendiilor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stabilesc pentru următoarele locuri de muncă ale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val="false"/>
        <w:pageBreakBefore w:val="false"/>
        <w:widowControl/>
        <w:numPr>
          <w:ilvl w:val="0"/>
          <w:numId w:val="0"/>
        </w:numPr>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{{name}} ({{activity}});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cuprind următoarele: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Șefii locurilor de muncă care elaborează instrucțiunile de apărare împotriva incendiilor sunt conducătorii locurilor de muncă desemnați prin Decizia nr. {{fire.decisionNumbers.organization}}:</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0"/>
        </w:numPr>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{{name}}, având funcția de {{jobTitle}}, pentru {{#workplaceName}}locul de muncă {{workplaceName}}{{/workplaceName}}{{^workplaceName}}toate locurile de muncă{{/workplaceName}};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verifică de {{fireSafetyTechnician.name}}, cadru tehnic cu atribuții în domeniul apărării împotriva incendiilor, reprezentant al {{provider.legalName}}, și se aprobă de {{client.representativeName}}, în calitate de {{client.representativeRole}}.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afișează la fiecare loc de muncă. Instrucțiunile fiecărui loc de muncă sunt cele din anexa prezentei decizii.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Salariații de la locurile de muncă pentru care s-au întocmit instrucțiunile de apărare împotriva incendiilor au obligația să le studieze, să le însușească și să le aplice.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actualizează la modificări, modernizări, dezvoltări, reprofilări și la apariția unor noi reglementări.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instrucțiune de apărare împotriva incendiilor trebuie să aibă înscrisă data întocmirii/reviziei și data aprobării.</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 Atribuțiile salariaților la locurile de muncă</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III. Dispoziție finală</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baza prezentei decizii, fiecare șef al locului de muncă nominalizat în prezenta decizie are obligația ca, în decurs de 30 de zile de la comunicare, să supună verificării cadrului tehnic cu atribuții de apărare împotriva incendiilor instrucțiunile de apărare împotriva incendiilor și sarcinile ce revin personalului la locul de muncă pe care îl conduce, din anexa prezentei decizii.</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sz w:val="20"/>
          <w:szCs w:val="20"/>
          <w:lang w:val="it-CH"/>
        </w:rPr>
      </w:pPr>
      <w:r>
        <w:rPr>
          <w:rFonts w:eastAsia="Arial" w:cs="Arial" w:ascii="Arial" w:hAnsi="Arial"/>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isionNumbers.instructions}}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r>
        <w:br w:type="page"/>
      </w:r>
    </w:p>
    <w:p>
      <w:pPr>
        <w:pStyle w:val="Normal"/>
        <w:keepNext w:val="true"/>
        <w:pageBreakBefore w:val="false"/>
        <w:widowControl/>
        <w:numPr>
          <w:ilvl w:val="0"/>
          <w:numId w:val="0"/>
        </w:numPr>
        <w:spacing w:before="480" w:after="0"/>
        <w:ind w:hanging="0" w:left="0" w:right="0"/>
        <w:jc w:val="center"/>
        <w:rPr/>
      </w:pPr>
      <w:r>
        <w:rPr>
          <w:rStyle w:val="text1"/>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4"/>
          <w:szCs w:val="20"/>
          <w:lang w:val="ro-RO"/>
        </w:rPr>
        <w:t>INSTRUCȚIUNI DE APĂRARE ÎMPOTRIVA INCENDIILOR</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Anexă la Decizia nr. {{fire.decisionNumbers.instructions}} din {{issueDate}}</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Locul de muncă: {{name}}, {{activity}}</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Adresa: {{address}}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 Obligațiile administratorului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19 alin. (1)) Administratorul sau conducătorul instituției, după caz,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l)</w:t>
      </w:r>
      <w:r>
        <w:rPr>
          <w:rStyle w:val="text1"/>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m)</w:t>
      </w:r>
      <w:r>
        <w:rPr>
          <w:rStyle w:val="text1"/>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n)</w:t>
      </w:r>
      <w:r>
        <w:rPr>
          <w:rStyle w:val="text1"/>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o)</w:t>
      </w:r>
      <w:r>
        <w:rPr>
          <w:rStyle w:val="text1"/>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p)</w:t>
      </w:r>
      <w:r>
        <w:rPr>
          <w:rStyle w:val="text1"/>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q)</w:t>
      </w:r>
      <w:r>
        <w:rPr>
          <w:rStyle w:val="text1"/>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w:t>
      </w:r>
      <w:r>
        <w:rPr>
          <w:rStyle w:val="text1"/>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r²)</w:t>
      </w:r>
      <w:r>
        <w:rPr>
          <w:rStyle w:val="text1"/>
          <w:rFonts w:eastAsia="Arial" w:cs="Arial" w:ascii="Arial" w:hAnsi="Arial"/>
          <w:b w:val="false"/>
          <w:i w:val="false"/>
          <w:color w:val="auto"/>
          <w:spacing w:val="0"/>
          <w:w w:val="100"/>
          <w:sz w:val="20"/>
          <w:szCs w:val="20"/>
          <w:lang w:val="ro-RO"/>
        </w:rPr>
        <w:tab/>
        <w:t>să dispună și să asigure menținerea, pe intervalul de timp prevăzut la lit. r³),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30³ alin. (4⁴);</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r³)</w:t>
      </w:r>
      <w:r>
        <w:rPr>
          <w:rStyle w:val="text1"/>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30³ alin. (4⁴)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r⁴)</w:t>
      </w:r>
      <w:r>
        <w:rPr>
          <w:rStyle w:val="text1"/>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r⁵)</w:t>
      </w:r>
      <w:r>
        <w:rPr>
          <w:rStyle w:val="text1"/>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r⁶)</w:t>
      </w:r>
      <w:r>
        <w:rPr>
          <w:rStyle w:val="text1"/>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r⁷)</w:t>
      </w:r>
      <w:r>
        <w:rPr>
          <w:rStyle w:val="text1"/>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r⁸)</w:t>
      </w:r>
      <w:r>
        <w:rPr>
          <w:rStyle w:val="text1"/>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r⁹)</w:t>
      </w:r>
      <w:r>
        <w:rPr>
          <w:rStyle w:val="text1"/>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r¹⁰)</w:t>
      </w:r>
      <w:r>
        <w:rPr>
          <w:rStyle w:val="text1"/>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r¹¹)</w:t>
      </w:r>
      <w:r>
        <w:rPr>
          <w:rStyle w:val="text1"/>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r¹²)</w:t>
      </w:r>
      <w:r>
        <w:rPr>
          <w:rStyle w:val="text1"/>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r¹³)</w:t>
      </w:r>
      <w:r>
        <w:rPr>
          <w:rStyle w:val="text1"/>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r¹⁴)</w:t>
      </w:r>
      <w:r>
        <w:rPr>
          <w:rStyle w:val="text1"/>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r¹⁵)</w:t>
      </w:r>
      <w:r>
        <w:rPr>
          <w:rStyle w:val="text1"/>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r¹⁶)</w:t>
      </w:r>
      <w:r>
        <w:rPr>
          <w:rStyle w:val="text1"/>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s)</w:t>
      </w:r>
      <w:r>
        <w:rPr>
          <w:rStyle w:val="text1"/>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îndeplinirea atribuțiilor, conform OMAI 163/2007 – Art. 6, administratorul stabilește persoane sau încheie contracte de prestări servicii cu persoane fizice sau juridice atestate conform legii.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Administratorul răspunde de activitatea de prevenire și stingere a incendiilor și o conduce prin structurile subordonate.</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 Obligațiile șefilor locurilor de muncă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Șefii locurilor de muncă au următoarele atribuții: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completarea și actualizarea evidenței personalului subordonat;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studierea și însușirea actelor de autoritate emise de conducător;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studierea și însușirea prezentelor atribuții.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Instruirea: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desfășurarea instruirii personalului din subordine conform deciziei privind instruirea în domeniul situațiilor de urgență, Decizia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desfășurarea instruirii personalului din exterior conform aceleiași decizii;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asigurarea participării angajaților la instruire și la exercițiile practice, conform planificării;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aducerea la cunoștința personalului din subordine, pe bază de semnătură, a conținutului actelor de autoritate, în părțile care îl privesc;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instruirea periodică a personalului din subordine{{#fire.staff.executionText}}: personalul de execuție la {{fire.schedule.workerIntervalLabel}}, respectiv în {{fire.schedule.workerMonths}}{{/fire.staff.executionText}}, conform Deciziei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verificarea fișelor de instruire, ca acestea să fie completate corect, cu toate datele din formular, data instruirii și testele efectuate;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prelucrarea legislației primite pentru instruire;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prelucrarea tematicii instruirii periodice;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semnarea fișei de instruire la rubrica „persoana care a instruit”;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verificarea semnării de către angajat a fișei de instruire la rubrica „persoana instruită”.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Exerciții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lunară, practică, a exercițiilor de primă intervenție cu personalul nominalizat;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completarea evidenței exercițiilor desfășurate, cu semnătura personalului participant.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Organizarea intervenției la locul de muncă, respectiv:</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prezentarea semnalului de alarmare – voce, sirenă;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precizarea numărului de telefon operativ – 112;</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prezentarea locului de amplasare a stingătoarelor, a hidranților interiori și a butoanelor de semnalizare;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ce execută fiecare angajat în caz de alarmă;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traseele de evacuare – prezentarea căilor și ușilor de evacuare;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locul de adunare a personalului evacuat – se prezintă locul de adunare;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cine face prezența – se nominalizează persoana cu această obligație;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semnarea tabelului cu personalul participant la exercițiu, lunar;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afișarea organizării apărării împotriva incendiilor la locul de muncă și a planului cu organizarea evacuării.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Controlul intern: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controalelor interne conform planificării, Decizia nr. {{fire.decisionNumbers.control}};</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înscrierea constatărilor în procesul-verbal de control propriu;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verificarea stingătoarelor, lunar – aspect, valabilitate;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verificarea marcajelor, lunar – semne convenționale;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verificarea respectării regulilor privind fumatul, stabilite prin Decizia nr. {{fire.decisionNumbers.smoking}}.</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Atribuții specifice potrivit OMAI 163/2007:</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verificarea, la terminarea programului, a scoaterii din funcțiune a aparatelor și consumatorilor;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întocmirea și transmiterea la sediu a notelor de control privind:</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apărării împotriva incendiilor când activitatea este întreruptă;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colectarea, depozitarea și neutralizarea organizată 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delimitarea, marcarea și dotarea locurilor special amenajate pentru fumat;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prezentarea fișei obiectivului la solicitarea reprezentanților ISU;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prezentarea la sediu, în formă scrisă, a propunerilor pentru remedierea neregulilor și pentru efectuarea analizei periodice a capacității de apărare împotriva incendiilor;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funcționării sistemului de alarmare la incendiu – comunicarea inexistenței sau nefuncționării acestui sistem;</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marcarea locurilor unde este interzisă folosirea focului deschis;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respectarea interdicției de depozitare a lichidelor inflamabile altfel decât prevăd normele în vigoare;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deblocată a căilor de acces ale autospecialelor;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deblocată a accesului la instalațiile și mijloacele de stingere și intervenție;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anunțarea, cu 30 de zile înaintea datei de expirare, a mijloacelor de primă intervenție;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afișarea la loc vizibil a instrucțiunilor de apărare împotriva incendiilor, a organizării primei intervenții, a organizării apărării la locul de muncă și a planului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actualizarea datelor la modificările din structura de personal;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marcarea cu sistem luminos a căilor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vizibilității indicatoarelor de securitate la incendiu;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folosirea sistemelor, utilajelor și aparatelor numai în condiții tehnice corespunzătoare;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desfășurarea instruirii personalului din subordine și a personalului din exterior conform deciziei privind instruirea;</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completarea registrului de control al instalațiilor.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Pentru organizarea apărării împotriva incendiilor la locul de muncă, șefii locurilor de muncă au următoarele responsabilități:</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prevenirea incendiilor – țin evidența:</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materialelor și dotărilor tehnologice cu pericol de incendiu;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surselor probabile de aprindere;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mijloacelor care pot genera incendii;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măsurilor de prevenire specifice;</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intervenția pentru stingerea incendiilor: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mijloacele de alarmare a personalului, a forțelor specializate și a administratorului;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mijloacele de primă intervenție și de salvare a personalului;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componența echipei de salvare-evacuare, pe schimburi și pe zile de lucru;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organizarea intervenției, cu nominalizarea persoanelor incluse și a activităților;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pentru intervenția la locul de muncă: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alarmează personalul de la locul de muncă;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anunță evenimentul la conducere și la 112;</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coordonează salvarea personalului conform planului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dispun întreruperea alimentării cu energie electrică și gaze;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conduc acțiunea de primă intervenție cu mijloacele din dotare;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organizează evacuarea bunurilor aflate în pericol;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iau măsuri de protecție a personalului de intervenție împotriva efectelor incendiului;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verifică prezența personalului evacuat, corelată cu personalul aflat la lucru în ziua respectivă;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organizează verificarea locurilor în care pot apărea focare noi sau unde se poate propaga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intervenția la locurile de muncă, nominalizarea persoanelor se face pe schimburi de activitate, în timpul și în afara programului de lucru și pentru zilele de repaus și sărbătorile legale.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situația în care activitatea normală este întreruptă (noaptea, zile nelucrătoare, sărbători legale etc.) se iau în mod obligatoriu măsuri de apărare împotriva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III. Obligațiile utilizatorului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IV. Obligațiile salariaților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 Comportamentul în caz de incendiu</w:t>
      </w:r>
    </w:p>
    <w:tbl>
      <w:tblPr>
        <w:tblW w:w="5000" w:type="pct"/>
        <w:jc w:val="left"/>
        <w:tblInd w:w="55" w:type="dxa"/>
        <w:tblLayout w:type="fixed"/>
        <w:tblCellMar>
          <w:top w:w="55" w:type="dxa"/>
          <w:left w:w="55" w:type="dxa"/>
          <w:bottom w:w="55" w:type="dxa"/>
          <w:right w:w="55" w:type="dxa"/>
        </w:tblCellMar>
      </w:tblPr>
      <w:tblGrid>
        <w:gridCol w:w="2806"/>
        <w:gridCol w:w="6549"/>
      </w:tblGrid>
      <w:tr>
        <w:trPr>
          <w:tblHeader w:val="true"/>
        </w:trPr>
        <w:tc>
          <w:tcPr>
            <w:tcW w:w="9355"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Comportament în caz de incendiu – Păstrați-vă calmul!</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 Anunțați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pompieri: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salvare: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CINE anunță? CE s-a întâmplat? UNDE s-a întâmplat?</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 Evacuarea în siguranță</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Salvați persoanele aflate în pericol.</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Urmați căile de evacuare marcate.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Fiți atenți la indicatoare.</w:t>
            </w:r>
          </w:p>
        </w:tc>
      </w:tr>
      <w:tr>
        <w:trPr/>
        <w:tc>
          <w:tcPr>
            <w:tcW w:w="280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 Stingeți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Utilizați stingătoarele.</w:t>
            </w:r>
          </w:p>
        </w:tc>
      </w:tr>
    </w:tbl>
    <w:p>
      <w:pPr>
        <w:pStyle w:val="Normal"/>
        <w:keepNext/>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Informarea pompierilor: pompierii sunt întâmpinați de administrator (reprezentantul acestuia), care îi informează cu privire la: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numărul și locurile posibile din clădire unde mai sunt persoane;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situația intrărilor, a caselor de scări și a coridoarelor;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locul unde s-a produs incendiul și propagarea acestuia;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alte date solicitate de forțele de intervenție.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Fiecare salariat trebuie să știe: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unde se găsesc stingătoarele;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cum se utilizează acestea;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ce tip de stingător este potrivit fiecărui tip de incendiu;</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ce tactică de stingere trebuie utilizată.</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 aceea: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informați-vă unde sunt amplasate stingătoarele!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citiți indicațiile de folosire – pe cât posibil chiar acum, și nu abia atunci când s-a produs incendiul!</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participați la exercițiul practic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 Mijloacele de apărare împotriva incendiilor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muncă este dotat cu următoarele mijloace tehnice de apărare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{{kindLabel}}{{#description}} ({{description}}){{/description}};</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Stingător tip {{code}} – {{agentLabel}}, {{capacityLabel}}{{#wheeled}}, carosabil{{/wheeled}}: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{{kindLabel}}: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Stingătoarele sunt repartizate după cum urmează:</w:t>
      </w:r>
    </w:p>
    <w:tbl>
      <w:tblPr>
        <w:tblW w:w="5000" w:type="pct"/>
        <w:jc w:val="left"/>
        <w:tblInd w:w="55" w:type="dxa"/>
        <w:tblLayout w:type="fixed"/>
        <w:tblCellMar>
          <w:top w:w="55" w:type="dxa"/>
          <w:left w:w="55" w:type="dxa"/>
          <w:bottom w:w="55" w:type="dxa"/>
          <w:right w:w="55" w:type="dxa"/>
        </w:tblCellMar>
      </w:tblPr>
      <w:tblGrid>
        <w:gridCol w:w="1039"/>
        <w:gridCol w:w="1559"/>
        <w:gridCol w:w="3118"/>
        <w:gridCol w:w="2079"/>
        <w:gridCol w:w="1560"/>
      </w:tblGrid>
      <w:tr>
        <w:trPr>
          <w:tblHeader w:val="true"/>
        </w:trPr>
        <w:tc>
          <w:tcPr>
            <w:tcW w:w="10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Agent de stingere</w:t>
            </w:r>
          </w:p>
        </w:tc>
        <w:tc>
          <w:tcPr>
            <w:tcW w:w="207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Capacitate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bucăți</w:t>
            </w:r>
          </w:p>
        </w:tc>
      </w:tr>
      <w:tr>
        <w:trPr/>
        <w:tc>
          <w:tcPr>
            <w:tcW w:w="1039"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{{#extinguishers}}{{$index}}.</w:t>
            </w:r>
          </w:p>
        </w:tc>
        <w:tc>
          <w:tcPr>
            <w:tcW w:w="155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{{code}}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{{agentLabel}}</w:t>
            </w:r>
          </w:p>
        </w:tc>
        <w:tc>
          <w:tcPr>
            <w:tcW w:w="207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{{capacityLabel}}{{#wheeled}}, carosabil{{/wheeled}}</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{{count}}{{/extinguishers}}</w:t>
            </w:r>
          </w:p>
        </w:tc>
      </w:tr>
      <w:tr>
        <w:trPr/>
        <w:tc>
          <w:tcPr>
            <w:tcW w:w="7795" w:type="dxa"/>
            <w:gridSpan w:val="4"/>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Total</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{{extinguisherCount}}</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Salariații trebuie să cunoască: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unde sunt amplasate stingătoarele (locația exactă de amplasare);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cum se utilizează acestea (la stingătorul portabil se trage inelul de siguranță și se apasă mânerul declanșator).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 Elementele care determină riscul de incendiu</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Conform OMAI 163/2007 – Art. 33 alin. (2) lit. d), riscul de incendiu la locul de muncă este determinat de: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materialele combustibile și inflamabile – {{combustibleMaterials}}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sursele de aprindere posibile – {{ignitionSources}}</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echipamentele și mijloacele de lucru – {{fireRiskEquipment}}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Măsuri specifice locului de muncă: {{specificMeasures}}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VIII. Reguli generale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interzisă exploatarea utilajelor și instalațiilor electrice în următoarele situații: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fără să aibă protecțiile, izolările sau separațiile necesare, precum și legarea la pământ și la nulul de protecție;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dacă sunt amplasate la distanțe necorespunzătoare față de materiale sau substanțe combustibile;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dacă sunt încărcate peste sarcina admisibilă;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cu improvizații sau defecțiuni;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cu încălziri ale lagărelor sau carcaselor peste temperatura admisă.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și intervenția la tablourile de distribuție, comandă și automatizare sunt permise numai personalului autorizat.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amplasarea oricăror materiale sau utilaje în imediata apropiere a tablourilor electrice.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Orice defecțiune a instalațiilor electrice se remediază în cel mai scurt timp, numai de către personalul autorizat pentru astfel de intervenții.</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Măsurile tehnico-organizatorice de apărare împotriva incendiilor: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întreținerea și exploatarea instalațiilor electrice fără defecțiuni și improvizații;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executarea lucrărilor cu foc deschis cu respectarea prescripțiilor tehnice specifice (permis de lucru cu foc);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verificarea periodică a mijloacelor de primă intervenție;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instruirea periodică, teoretică și practică, a salariaților;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executarea periodică a unor exerciții practice de stingere cu salariații.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folosirea focului deschis și a încălzirii cu surse cu foc deschis (reșouri, radiatoare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Executarea lucrărilor de sudare, tăiere, lipire sau a altor asemenea operațiuni care prezintă pericol de incendiu se realizează doar cu aprobarea și reglementarea scrisă a administratorului privind modul de executare (Decizia nr. {{fire.decisionNumbers.openFire}}), pe baza permisului de lucru cu foc.</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IX. Fumatul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toate spațiile și pe întreaga incintă a {{client.legalName}}, conform Deciziei nr. {{fire.decisionNumbers.smoking}}.</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spațiile de lucru, în birouri, în grupurile social-sanitare și în toate spațiile închise. Fumatul este permis numai în locurile amenajate în exteriorul clădirilor{{#fire.smoking.place}} ({{fire.smoking.place}}){{/fire.smoking.place}}, conform Deciziei nr. {{fire.decisionNumbers.smoking}}:</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locurile stabilite pentru fumat sunt marcate și semnalizate „LOC PENTRU FUMAT”, fiind prevăzute cu scrumiere sau vase cu apă, nisip sau pământ;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scrumierele se amplasează astfel încât să nu fie posibilă aprinderea materialelor combustibile din apropiere (draperii, jaluzele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depunerea în scrumiere a altor deșeuri de materiale combustibile este interzisă;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nu este permis fumatul în exteriorul clădirii la o distanță mai mică de 40 m față de locurile în care există pericol de explozie (gaze și lichide combustibile, rastel cu butelii GPL etc.) sau la o distanță mai mică de 10 m față de locurile în care există materiale solide combustibile (lemn, hârtie,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Aruncarea la întâmplare a resturilor de țigări sau chibrituri aprinse este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 Căile de acces, de evacuare și de intervenție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mijloacelor și al persoanelor pentru intervențiile operative în caz de incendiu trebuie să fie asigurat în permanență la toate: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spațiile de producție;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instalațiile tehnologice și anexele acestora;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depozitele închise și deschise;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instalațiile, aparatele și mijloacele de apărare împotriva incendiilor, precum și punctele de comandă ale acestora (centrala și butoanele de semnalizare a incendiilor, stația de pompe de incendiu, hidranții de incendiu, stingătoarele, posturile telefonice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dispozitivele de acționare a unor mijloace cu rol de protecție în caz de incendiu (trape de evacuare a fumului și gazelor fierbinți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tablourile de distribuție și întrerupătoarele instalațiilor electrice de iluminat, de forță și de iluminat de siguranță și sursele de rezervă destinate să alimenteze receptoarele electrice cu rol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trebuie menținute, în orice anotimp, practicabile și curate. Blocarea căilor de acces, de evacuare și de intervenție cu materiale care reduc lățimea sau înălțimea liberă de circulație stabilită ori care prezintă pericol de incendiu sau explozie, precum și modificările la acestea, prin care se înrăutățește situația inițială, sunt interzise.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Sistemul de închidere a ușilor de pe traseele de evacuare trebuie să permită deschiderea cu ușurință a acestora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Dispozitivele care asigură închiderea automată în caz de incendiu a elementelor de protecție, cele de acționare a trapelor, precum și cele care mențin în poziție închisă ușile încăperilor tampon vor fi în permanență în stare de funcționare.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sunt marcate cu indicatoare de securitate, astfel încât traseele acestora să poată fi recunoscute cu ușurință, atât ziua, cât și noaptea, de persoanele care le utilizează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 Colectarea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Colectarea deșeurilor și reziduurilor combustibile se face ritmic, obligatoriu la terminarea fiecărui schimb, iar acestea se depun în locurile destinate depozitării sau distrugerii lor, astfel încât la locurile de muncă să fie în permanență curățenie, conform Deciziei nr. {{fire.decisionNumbers.waste}}.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colectează: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pulberile, rumegușul, talașul și alte deșeuri combustibile depuse pe pardoseli;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maculatura de birotică;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scurgerile de lichide combustibile de pe sol, pardoseli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ambalajele care prezintă pericol de incendiu sau de explozie (lemn,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Deșeurile ușor inflamabile (ambalaje din carton, materiale plastice) vor fi îndepărtate din încăperi și depozitate în zona de siguranță, respectiv în containerele pentru deșeuri.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 Transportul, manipularea și depozitarea</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 timpul transportului, manipulării și depozitării produselor sau substanțelor combustibile, se va ține seama de proprietățile fizico-chimice și de compatibilitatea acestora cu substanțele de stingere, astfel încât la contactul dintre ele să nu se producă ori să se propage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Reguli privind transporturile rutiere și condițiile de parcare: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parcarea unității este strict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 inventarul autovehiculului trebuie să se găsească stingătorul, iar în cazul autovehiculelor care transportă încărcături ușor inflamabile sau periculoase, câte două stingătoare, precum și ladă sau sac cu nisip, o pătură groasă și o lopată pentru împrăștierea nisipului;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se interzice plecarea în cursă a autovehiculelor destinate transporturilor de persoane care nu sunt amenajate în conformitate cu prevederile regulamentului privind circulația pe drumurile publice;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se interzice folosirea flăcării deschise sau a altor surse de foc pentru pornirea motorului, iluminarea la remedierea sau alimentarea cu combustibil efectuate pe timpul nopții;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parcarea autovehiculelor se face numai în locurile marcate, astfel încât să se păstreze spațiile necesare pentru intervenția rapidă în caz de incendiu; pe platforma de parcare se vor întreține marcajele spațiilor destinate dispunerii autovehiculelor;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se interzice introducerea în parcare a autoturismelor care: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sunt încărcate cu substanțe explozive ori lichide combustibile sau ușor inflamabile;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fisuri, spărturi sau sunt fără bușoane la rezervoarele de combustibil;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prezintă scurgeri de combustibil;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motoare sau țevi de eșapament supraîncălzite ori sunt fără tobă de eșapament;</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instalația electrică defectă;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în cazul deversării accidentale a carburanților sau lubrifianților pe pardoseală, petele se acoperă cu nisip; nisipul îmbibat se evacuează imediat în afara parcajului, în locuri fără pericol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mijloacele auto pentru transportul materialelor periculoase, clasificate conform legii, pot circula pe drumurile publice numai dacă sunt omologate pentru clasele de periculozitate a materialelor respective și echipate cu mijloace adecvate pentru stingerea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traseele și programele admise pentru circulația mijloacelor auto care transportă mărfuri periculoase, locurile în care se permite staționarea sau parcarea acestora, precum și condițiile privind amenajarea parcajelor și dotarea acestora cu mijloace de prevenire și stingere a incendiilor se stabilesc prin reglementări specifice și dispoziții locale;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parcaje sau garaje publice ori în apropierea clădirilor publice și de locuit este strict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XIII. Intervenția și salvarea</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obligatorie cunoașterea de către fiecare angajat a următoarelor reguli referitoare la evacuarea persoanelor: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cunoașterea planului de evacuare aprobat;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căile de evacuare se mențin permanent curate și libere de mărfuri sau obstacole;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se numesc persoane care să asigure supravegherea pe timpul evacuării, precum și îndrumarea evacuării persoanelor și a bunurilor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În cazul constatării producerii unui incendiu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provocate la instalațiile alimentate cu combustibili lichizi sau gazoși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 cazul în care focul a cuprins elementele mai sus menționate, acoperiți întregul loc al supapei cu o prelată umedă care să cuprindă toată partea încinsă (butelie, recipient etc.) și acționați cu stingătorul, proiectând conținutul lui la baza flăcărilor;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dacă lichidul combustibil s-a revărsat, acoperiți imediat suprafața de revărsare cu nisip sau pământ;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atunci când totuși s-au produs explozii ori s-au inflamat gazele aflate într-o încăpere, după salvarea eventualelor victime, închideți ușile încăperilor unde s-a transmis incendiul, după care treceți la stingerea focarelor prin stropirea cu substanță de stingere sau prin batere cu cârpe umede; mobilierul combustibil ce nu poate fi evacuat și este amenințat de flăcări va fi acoperit cu prelate umede.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la instalațiile electrice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chiar dacă aparent flăcările nu sunt vizibile, locul pe unde iese fumul, precum și capacul dozei întrerupătorului sau al prizei care este cald vor indica circuitul care s-a aprins (traseul incendiului);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desfaceți capacul dozei de unde se ramifică circuitul care arde și introduceți sub presiune conținutul stingătorului pe tubul de protecție a conductelor;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la autovehicule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întrerupeți curentul prin scoaterea legăturilor de la baterie și treceți la stingerea incendiului folosind stingătorul din dotarea mașinii sau a altor vehicule ce trec pe drum;</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când s-a spart rezervorul și benzina arde sub autovehicul, împingeți mașina la distanță de câțiva metri de locul respectiv.</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deschideți ferestrele pentru evacuarea fumului și căutați copiii în firide, sub obstacole (ei se ascund de frică), iar pe adulți îi veți căuta la uși, la ferestre și în încăperile necuprinse de flăcări.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XIV. Primul ajutor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Primul ajutor se acordă neîntârziat, până la sosirea echipajului de urgență, care trebuie chemat prin 112 din primul moment, astfel:</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Conduita salvatorului cuprinde, în această ordine:</w:t>
      </w:r>
    </w:p>
    <w:p>
      <w:pPr>
        <w:pStyle w:val="Normal"/>
        <w:widowControl/>
        <w:numPr>
          <w:ilvl w:val="0"/>
          <w:numId w:val="1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examinarea victimei: dacă răspunde, dacă respiră normal, dacă sângerează abundent;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acordarea primului ajutor potrivit stării victimei și supravegherea ei până la preluarea de către echipajul de urgență.</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apelul 112 se comunică:</w:t>
      </w:r>
    </w:p>
    <w:p>
      <w:pPr>
        <w:pStyle w:val="Normal"/>
        <w:widowControl/>
        <w:numPr>
          <w:ilvl w:val="0"/>
          <w:numId w:val="1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locul exact al accidentului (adresa, clădirea, etajul, reperele și intrarea pe care o vor folosi echipajele);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ce s-a întâmplat (cădere, electrocutare, arsură, intoxicație, îmbolnăvire bruscă);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victimelor și starea lor (dacă răspund, dacă respiră, dacă sângerează);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pericolele care persistă (incendiu, gaz, curent electric, substanțe chimice);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de telefon de la care se sună.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Examinarea victimei se face rapid, în această ordine:</w:t>
      </w:r>
    </w:p>
    <w:p>
      <w:pPr>
        <w:pStyle w:val="Normal"/>
        <w:widowControl/>
        <w:numPr>
          <w:ilvl w:val="0"/>
          <w:numId w:val="1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restul corpului: la victima care respiră normal se caută alte leziuni (cap, gât, torace, abdomen, bazin, membre), fără a o mișca inutil.</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În funcție de rezultatul examinării:</w:t>
      </w:r>
    </w:p>
    <w:p>
      <w:pPr>
        <w:pStyle w:val="Normal"/>
        <w:widowControl/>
        <w:numPr>
          <w:ilvl w:val="0"/>
          <w:numId w:val="2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caz de îndoială, salvatorul presupune că victima este în stop cardiac și începe resuscitarea.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2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îngenunchează lângă victima culcată pe spate, cu ambele picioare întinse;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brațul victimei dinspre el în unghi drept față de corp, cu palma în sus;</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aduce celălalt braț al victimei peste piept și ține dosul palmei acesteia lipit de obrazul dinspre 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piciorul de deasupra cu șoldul și genunchiul îndoite în unghi drept;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Compresiile toracice se execută astfel:</w:t>
      </w:r>
    </w:p>
    <w:p>
      <w:pPr>
        <w:pStyle w:val="Normal"/>
        <w:widowControl/>
        <w:numPr>
          <w:ilvl w:val="0"/>
          <w:numId w:val="22"/>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descoperă pieptul victimei dacă hainele îl împiedică să găsească locul corect;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ține brațele întinse, cu umerii vertical deasupra pieptului victimei;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pieptul în jos cu cel puțin 5 cm, dar nu mai mult de 6 cm;</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un ritm de 100–120 de compresii pe minut;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reduce la minimum pauzele dintre compresii.</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2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deschide căile respiratorii prin înclinarea capului pe spate și ridicarea bărbiei;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închide nasul victimei cu degetul mare și arătătorul mâinii de pe frunte;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lasă pieptul să coboare și repetă o dată;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reia imediat cele 30 de compresii.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Cât timp aparatul analizează ritmul și când administrează șocul, nimeni nu atinge victima.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Lucrătorii trebuie să știe unde se află cel mai apropiat defibrilator, la locul de muncă sau în clădirile din apropiere.</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arsurile produse de flacără, de lichide sau obiecte fierbinți ori de abur:</w:t>
      </w:r>
    </w:p>
    <w:p>
      <w:pPr>
        <w:pStyle w:val="Normal"/>
        <w:widowControl/>
        <w:numPr>
          <w:ilvl w:val="0"/>
          <w:numId w:val="25"/>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2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arsura se răcește imediat cu apă curentă rece sau răcoroasă (nu cu gheață), cel puțin 20 de minute;</w:t>
      </w:r>
    </w:p>
    <w:p>
      <w:pPr>
        <w:pStyle w:val="Normal"/>
        <w:widowControl/>
        <w:numPr>
          <w:ilvl w:val="0"/>
          <w:numId w:val="2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2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2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3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poate face acest lucru fără risc, deschide ușile și ferestrele și oprește sursa de gaz;</w:t>
      </w:r>
    </w:p>
    <w:p>
      <w:pPr>
        <w:pStyle w:val="Normal"/>
        <w:widowControl/>
        <w:numPr>
          <w:ilvl w:val="0"/>
          <w:numId w:val="32"/>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4"/>
        </w:numPr>
        <w:spacing w:before="0" w:after="4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intoxicată cu gaze merge la medic, chiar dacă pare să-și fi revenit.</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electrocutare, salvatorul nu atinge victima cât timp aceasta este în contact cu sursa de curent:</w:t>
      </w:r>
    </w:p>
    <w:p>
      <w:pPr>
        <w:pStyle w:val="Normal"/>
        <w:widowControl/>
        <w:numPr>
          <w:ilvl w:val="0"/>
          <w:numId w:val="35"/>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 Locul de adunare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adunare a personalului evacuat: {{assemblyPoint}}</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XVI. Cadrul tehnic</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Cadrul tehnic cu atribuții în domeniul apărării împotriva incendiilor, {{fireSafetyTechnician.name}}, reprezentant al {{provider.legalName}}, îndeplinește obligațiile prevăzute de Legea 307/2006 – Art. 27 alin. (1), redate în Decizia nr. {{fire.decisionNumbers.technician}}.</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Întocmit</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Verificat</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Aprobat</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{{#manager}}{{name}}{{/manager}}{{^manager}}—{{/manager}}</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{{fireSafetyTechnician.name}}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Cadru tehnic PSI al {{provider.legalName}}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întocmirii: {{issueDate}}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verificării: {{issueDate}}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aprobării: {{issueDate}}</w:t>
            </w:r>
          </w:p>
        </w:tc>
      </w:tr>
      <w:tr>
        <w:trPr/>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9" w:type="dxa"/>
            <w:tcBorders>
              <w:left w:val="single" w:sz="4" w:space="0" w:color="000000"/>
              <w:bottom w:val="single" w:sz="4" w:space="0" w:color="000000"/>
              <w:right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pPr>
        <w:pStyle w:val="Normal"/>
        <w:keepNext w:val="false"/>
        <w:widowControl/>
        <w:numPr>
          <w:ilvl w:val="0"/>
          <w:numId w:val="0"/>
        </w:numPr>
        <w:spacing w:before="0" w:after="0"/>
        <w:ind w:hanging="0" w:left="0"/>
        <w:jc w:val="left"/>
        <w:rPr>
          <w:rStyle w:val="text1"/>
          <w:rFonts w:ascii="Arial" w:hAnsi="Arial" w:eastAsia="Arial" w:cs="Arial"/>
          <w:b w:val="false"/>
          <w:i w:val="false"/>
          <w:color w:val="auto"/>
          <w:spacing w:val="0"/>
          <w:w w:val="100"/>
          <w:sz w:val="2"/>
          <w:szCs w:val="20"/>
          <w:lang w:val="ro-RO"/>
        </w:rPr>
      </w:pPr>
      <w:r>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alibri">
    <w:charset w:val="01"/>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980"/>
        </w:tabs>
        <w:ind w:left="1980" w:hanging="180"/>
      </w:pPr>
      <w:rPr/>
    </w:lvl>
    <w:lvl w:ilvl="3">
      <w:start w:val="1"/>
      <w:numFmt w:val="decimal"/>
      <w:lvlText w:val="%4."/>
      <w:lvlJc w:val="left"/>
      <w:pPr>
        <w:tabs>
          <w:tab w:val="num" w:pos="2700"/>
        </w:tabs>
        <w:ind w:left="2700" w:hanging="360"/>
      </w:pPr>
      <w:rPr/>
    </w:lvl>
    <w:lvl w:ilvl="4">
      <w:start w:val="1"/>
      <w:numFmt w:val="lowerLetter"/>
      <w:lvlText w:val="%5."/>
      <w:lvlJc w:val="left"/>
      <w:pPr>
        <w:tabs>
          <w:tab w:val="num" w:pos="3420"/>
        </w:tabs>
        <w:ind w:left="3420" w:hanging="360"/>
      </w:pPr>
      <w:rPr/>
    </w:lvl>
    <w:lvl w:ilvl="5">
      <w:start w:val="1"/>
      <w:numFmt w:val="lowerRoman"/>
      <w:lvlText w:val="%6."/>
      <w:lvlJc w:val="right"/>
      <w:pPr>
        <w:tabs>
          <w:tab w:val="num" w:pos="4140"/>
        </w:tabs>
        <w:ind w:left="4140" w:hanging="180"/>
      </w:pPr>
      <w:rPr/>
    </w:lvl>
    <w:lvl w:ilvl="6">
      <w:start w:val="1"/>
      <w:numFmt w:val="decimal"/>
      <w:lvlText w:val="%7."/>
      <w:lvlJc w:val="left"/>
      <w:pPr>
        <w:tabs>
          <w:tab w:val="num" w:pos="4860"/>
        </w:tabs>
        <w:ind w:left="4860" w:hanging="360"/>
      </w:pPr>
      <w:rPr/>
    </w:lvl>
    <w:lvl w:ilvl="7">
      <w:start w:val="1"/>
      <w:numFmt w:val="lowerLetter"/>
      <w:lvlText w:val="%8."/>
      <w:lvlJc w:val="left"/>
      <w:pPr>
        <w:tabs>
          <w:tab w:val="num" w:pos="5580"/>
        </w:tabs>
        <w:ind w:left="5580" w:hanging="360"/>
      </w:pPr>
      <w:rPr/>
    </w:lvl>
    <w:lvl w:ilvl="8">
      <w:start w:val="1"/>
      <w:numFmt w:val="lowerRoman"/>
      <w:lvlText w:val="%9."/>
      <w:lvlJc w:val="right"/>
      <w:pPr>
        <w:tabs>
          <w:tab w:val="num" w:pos="6300"/>
        </w:tabs>
        <w:ind w:left="6300" w:hanging="18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7"/>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26">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7">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8">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9">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0">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31">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2">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3">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4">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5">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36">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7">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8">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9">
    <w:abstractNumId w:val="13"/>
    <w:lvlOverride w:ilvl="0">
      <w:lvl w:ilvl="0">
        <w:start w:val="1"/>
        <w:numFmt w:val="bullet"/>
        <w:lvlText w:val="–"/>
        <w:lvlJc w:val="left"/>
        <w:pPr>
          <w:tabs>
            <w:tab w:val="num" w:pos="720"/>
          </w:tabs>
          <w:ind w:left="720" w:hanging="360"/>
        </w:pPr>
        <w:rPr>
          <w:rFonts w:ascii="Arial" w:hAnsi="Arial" w:cs="Arial" w:hint="default"/>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outlineLvl w:val="0"/>
    </w:pPr>
    <w:rPr>
      <w:b/>
      <w:bCs/>
      <w:sz w:val="20"/>
      <w:szCs w:val="20"/>
      <w:lang w:val="de-DE"/>
    </w:rPr>
  </w:style>
  <w:style w:type="character" w:styleId="WW8Num1z0">
    <w:name w:val="WW8Num1z0"/>
    <w:rPr>
      <w:b/>
    </w:rPr>
  </w:style>
  <w:style w:type="character" w:styleId="WW8Num2z1">
    <w:name w:val="WW8Num2z1"/>
    <w:rPr>
      <w:b/>
    </w:rPr>
  </w:style>
  <w:style w:type="character" w:styleId="WW8Num3z0">
    <w:name w:val="WW8Num3z0"/>
    <w:rPr>
      <w:rFonts w:ascii="Arial" w:hAnsi="Arial" w:eastAsia="Times New Roman" w:cs="Arial"/>
      <w:b/>
      <w:lang w:val="fr-FR"/>
    </w:rPr>
  </w:style>
  <w:style w:type="character" w:styleId="WW8Num3z1">
    <w:name w:val="WW8Num3z1"/>
    <w:rPr>
      <w:rFonts w:ascii="Courier New" w:hAnsi="Courier New" w:cs="Courier New"/>
    </w:rPr>
  </w:style>
  <w:style w:type="character" w:styleId="WW8Num3z2">
    <w:name w:val="WW8Num3z2"/>
    <w:rPr>
      <w:b/>
      <w:lang w:val="fr-FR"/>
    </w:rPr>
  </w:style>
  <w:style w:type="character" w:styleId="WW8Num3z3">
    <w:name w:val="WW8Num3z3"/>
    <w:rPr>
      <w:b/>
      <w:lang w:val="it-IT"/>
    </w:rPr>
  </w:style>
  <w:style w:type="character" w:styleId="WW8Num4z0">
    <w:name w:val="WW8Num4z0"/>
    <w:rPr>
      <w:rFonts w:ascii="Arial" w:hAnsi="Arial" w:eastAsia="Times New Roman" w:cs="Arial"/>
      <w:b/>
    </w:rPr>
  </w:style>
  <w:style w:type="character" w:styleId="WW8Num4z1">
    <w:name w:val="WW8Num4z1"/>
    <w:rPr>
      <w:rFonts w:ascii="Arial" w:hAnsi="Arial" w:eastAsia="Times New Roman" w:cs="Arial"/>
      <w:b/>
      <w:lang w:val="fr-FR"/>
    </w:rPr>
  </w:style>
  <w:style w:type="character" w:styleId="WW8Num4z2">
    <w:name w:val="WW8Num4z2"/>
    <w:rPr>
      <w:rFonts w:ascii="Times New Roman" w:hAnsi="Times New Roman" w:cs="Times New Roman"/>
      <w:b/>
      <w:i w:val="false"/>
      <w:sz w:val="18"/>
      <w:szCs w:val="18"/>
    </w:rPr>
  </w:style>
  <w:style w:type="character" w:styleId="WW8Num4z3">
    <w:name w:val="WW8Num4z3"/>
    <w:rPr>
      <w:b/>
    </w:rPr>
  </w:style>
  <w:style w:type="character" w:styleId="WW8Num4z4">
    <w:name w:val="WW8Num4z4"/>
    <w:rPr>
      <w:rFonts w:ascii="Courier New" w:hAnsi="Courier New" w:cs="Courier New"/>
    </w:rPr>
  </w:style>
  <w:style w:type="character" w:styleId="WW8Num4z5">
    <w:name w:val="WW8Num4z5"/>
    <w:rPr>
      <w:rFonts w:ascii="Wingdings" w:hAnsi="Wingdings" w:cs="Wingdings"/>
    </w:rPr>
  </w:style>
  <w:style w:type="character" w:styleId="WW8Num4z6">
    <w:name w:val="WW8Num4z6"/>
    <w:rPr>
      <w:rFonts w:ascii="Symbol" w:hAnsi="Symbol" w:cs="Symbol"/>
    </w:rPr>
  </w:style>
  <w:style w:type="character" w:styleId="WW8Num5z0">
    <w:name w:val="WW8Num5z0"/>
    <w:rPr>
      <w:rFonts w:ascii="Arial" w:hAnsi="Arial" w:eastAsia="Times New Roman" w:cs="Arial"/>
      <w:b/>
      <w:lang w:val="it-IT"/>
    </w:rPr>
  </w:style>
  <w:style w:type="character" w:styleId="WW8Num5z1">
    <w:name w:val="WW8Num5z1"/>
    <w:rPr>
      <w:rFonts w:ascii="Courier New" w:hAnsi="Courier New" w:cs="Courier New"/>
    </w:rPr>
  </w:style>
  <w:style w:type="character" w:styleId="WW8Num5z2">
    <w:name w:val="WW8Num5z2"/>
    <w:rPr>
      <w:rFonts w:ascii="Wingdings" w:hAnsi="Wingdings" w:cs="Wingdings"/>
    </w:rPr>
  </w:style>
  <w:style w:type="character" w:styleId="WW8Num5z3">
    <w:name w:val="WW8Num5z3"/>
    <w:rPr>
      <w:rFonts w:ascii="Symbol" w:hAnsi="Symbol" w:cs="Symbol"/>
    </w:rPr>
  </w:style>
  <w:style w:type="character" w:styleId="WW8Num6z0">
    <w:name w:val="WW8Num6z0"/>
    <w:rPr>
      <w:rFonts w:ascii="Times New Roman" w:hAnsi="Times New Roman" w:cs="Times New Roman"/>
      <w:b/>
      <w:i w:val="false"/>
      <w:sz w:val="18"/>
      <w:szCs w:val="18"/>
    </w:rPr>
  </w:style>
  <w:style w:type="character" w:styleId="WW8Num6z1">
    <w:name w:val="WW8Num6z1"/>
    <w:rPr>
      <w:b/>
      <w:i w:val="false"/>
      <w:sz w:val="18"/>
      <w:szCs w:val="18"/>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b/>
    </w:rPr>
  </w:style>
  <w:style w:type="character" w:styleId="WW8Num8z0">
    <w:name w:val="WW8Num8z0"/>
    <w:rPr>
      <w:b/>
    </w:rPr>
  </w:style>
  <w:style w:type="character" w:styleId="WW8Num8z2">
    <w:name w:val="WW8Num8z2"/>
    <w:rPr>
      <w:rFonts w:ascii="Times New Roman" w:hAnsi="Times New Roman" w:cs="Times New Roman"/>
      <w:b/>
      <w:i w:val="false"/>
      <w:sz w:val="18"/>
      <w:szCs w:val="18"/>
    </w:rPr>
  </w:style>
  <w:style w:type="character" w:styleId="WW8Num9z0">
    <w:name w:val="WW8Num9z0"/>
    <w:rPr>
      <w:b/>
    </w:rPr>
  </w:style>
  <w:style w:type="character" w:styleId="WW8Num10z0">
    <w:name w:val="WW8Num10z0"/>
    <w:rPr>
      <w:rFonts w:ascii="Arial" w:hAnsi="Arial" w:cs="Arial"/>
      <w:b/>
      <w:i w:val="false"/>
      <w:sz w:val="20"/>
      <w:szCs w:val="20"/>
    </w:rPr>
  </w:style>
  <w:style w:type="character" w:styleId="WW8Num11z0">
    <w:name w:val="WW8Num11z0"/>
    <w:rPr>
      <w:b/>
    </w:rPr>
  </w:style>
  <w:style w:type="character" w:styleId="WW8Num11z1">
    <w:name w:val="WW8Num11z1"/>
    <w:rPr>
      <w:rFonts w:ascii="Arial" w:hAnsi="Arial" w:eastAsia="Times New Roman" w:cs="Arial"/>
    </w:rPr>
  </w:style>
  <w:style w:type="character" w:styleId="WW8Num12z0">
    <w:name w:val="WW8Num12z0"/>
    <w:rPr>
      <w:rFonts w:ascii="Arial" w:hAnsi="Arial" w:eastAsia="Times New Roman" w:cs="Aria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3z0">
    <w:name w:val="WW8Num13z0"/>
    <w:rPr>
      <w:rFonts w:ascii="Times New Roman" w:hAnsi="Times New Roman" w:cs="Times New Roman"/>
      <w:b/>
      <w:i w:val="false"/>
      <w:sz w:val="18"/>
      <w:szCs w:val="18"/>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4z0">
    <w:name w:val="WW8Num14z0"/>
    <w:rPr>
      <w:b/>
    </w:rPr>
  </w:style>
  <w:style w:type="character" w:styleId="WW8Num15z0">
    <w:name w:val="WW8Num15z0"/>
    <w:rPr>
      <w:rFonts w:ascii="Arial" w:hAnsi="Arial" w:eastAsia="Times New Roman" w:cs="Arial"/>
      <w:b/>
    </w:rPr>
  </w:style>
  <w:style w:type="character" w:styleId="WW8Num16z0">
    <w:name w:val="WW8Num16z0"/>
    <w:rPr>
      <w:b/>
    </w:rPr>
  </w:style>
  <w:style w:type="character" w:styleId="WW8Num17z0">
    <w:name w:val="WW8Num17z0"/>
    <w:rPr>
      <w:b/>
    </w:rPr>
  </w:style>
  <w:style w:type="character" w:styleId="WW8Num17z1">
    <w:name w:val="WW8Num17z1"/>
    <w:rPr>
      <w:rFonts w:ascii="Times New Roman" w:hAnsi="Times New Roman" w:cs="Times New Roman"/>
      <w:b/>
      <w:i w:val="false"/>
      <w:sz w:val="18"/>
      <w:szCs w:val="18"/>
    </w:rPr>
  </w:style>
  <w:style w:type="character" w:styleId="DefaultParagraphFont">
    <w:name w:val="Default Paragraph Font"/>
    <w:rPr/>
  </w:style>
  <w:style w:type="character" w:styleId="text1">
    <w:name w:val="text1"/>
    <w:rPr>
      <w:rFonts w:ascii="Arial" w:hAnsi="Arial" w:cs="Arial"/>
      <w:sz w:val="24"/>
      <w:szCs w:val="24"/>
    </w:rPr>
  </w:style>
  <w:style w:type="character" w:styleId="tpa1">
    <w:name w:val="tpa1"/>
    <w:basedOn w:val="DefaultParagraphFont"/>
    <w:rPr/>
  </w:style>
  <w:style w:type="character" w:styleId="li1">
    <w:name w:val="li1"/>
    <w:rPr>
      <w:b/>
      <w:bCs/>
    </w:rPr>
  </w:style>
  <w:style w:type="character" w:styleId="tli1">
    <w:name w:val="tli1"/>
    <w:basedOn w:val="DefaultParagraphFont"/>
    <w:rPr/>
  </w:style>
  <w:style w:type="character" w:styleId="Heading1Char">
    <w:name w:val="Heading 1 Char"/>
    <w:rPr>
      <w:b/>
      <w:bCs/>
      <w:lang w:val="de-DE"/>
    </w:rPr>
  </w:style>
  <w:style w:type="character" w:styleId="PageNumber">
    <w:name w:val="page number"/>
    <w:basedOn w:val="DefaultParagraphFont"/>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lang w:val="ro-RO"/>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15</Pages>
  <Words>7498</Words>
  <Characters>46647</Characters>
  <CharactersWithSpaces>53677</CharactersWithSpaces>
  <Paragraphs>467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2024-03-04T10:21:00Z</dcterms:created>
  <dc:creator/>
  <dc:description/>
  <dc:language>ro-RO</dc:language>
  <cp:lastModifiedBy/>
  <cp:lastPrinted>2024-03-04T15:20:00Z</cp:lastPrinted>
  <dcterms:modified xsi:type="dcterms:W3CDTF">2026-10-10T12:45:57Z</dcterms:modified>
  <cp:revision>6</cp:revision>
  <dc:subject/>
  <dc:title/>
</cp:coreProperties>
</file>