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keepNext w:val="false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Legea 319/2006 – Art. 11, alin. (1), lit. b) și din H.G. 1425/2006 – Art. 103, alin. (1)–(5), {{client.representativeName}},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oprirea echipamentului de muncă și/ sau a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conducerea locurilor de muncă din cadrul {{client.legalName}} – {{workplaceManagersText}} – {{#workplaceManagersAssumeImminentDanger}}își asumă, în calitate de personal desemnat,{{/workplaceManagersAssumeImminentDanger}}{{#workplaceManagersAssumeAndDesignateImminentDanger}}își asumă rolul de personal desemnat și desemnează pe {{imminentDangerOthersText}}, cu{{/workplaceManagersAssumeAndDesignateImminentDanger}}{{#workplaceManagersDesignateImminentDanger}}desemnează pe {{imminentDangerText}}, cu{{/workplaceManagersDesignateImminentDanger}}{{#workplaceManagersDesignateAlongsideImminentDanger}}desemnează pe {{imminentDangerOthersText}}, alături de {{imminentDangerManagerNames}}, care își asumă rolul de personal desemnat, cu{{/workplaceManagersDesignateAlongsideImminentDanger}}{{#workplaceManagersAssignImminentDanger}}stabilește ca {{imminentDangerManagerNames}} să își asume, în calitate de personal desemnat,{{/workplaceManagersAssignImminentDanger}}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personalul desemnat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personalul desemnat;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mijloacelor de comunicare necesare contactării serviciilor specializate: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personalul desemnat sau reprezentantul legal al angajatorului;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personalul desemnat sau reprezentantul legal al angajatorului.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va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4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