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righ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319/2006 – Art. 18 și din H.G. 1425/2006 – Art. 52 – 56, Art. 57 alin. (5), </w:t>
      </w:r>
      <w:r>
        <w:rPr>
          <w:rFonts w:eastAsia="Arial" w:cs="Arial" w:ascii="Arial" w:hAnsi="Arial"/>
          <w:color w:val="auto"/>
          <w:spacing w:val="0"/>
          <w:w w:val="100"/>
          <w:sz w:val="20"/>
          <w:szCs w:val="20"/>
          <w:lang w:val="ro-RO"/>
        </w:rPr>
        <w:t xml:space="preserve">{{client.representa</w:t>
      </w:r>
      <w:r>
        <w:rPr>
          <w:rFonts w:eastAsia="Arial" w:cs="Arial" w:ascii="Arial" w:hAnsi="Arial"/>
          <w:color w:val="auto"/>
          <w:spacing w:val="0"/>
          <w:w w:val="100"/>
          <w:sz w:val="20"/>
          <w:szCs w:val="20"/>
          <w:lang w:val="ro-RO"/>
        </w:rPr>
        <w:t xml:space="preserve">tiveName}}, în c</w:t>
      </w:r>
      <w:r>
        <w:rPr>
          <w:rFonts w:eastAsia="Arial" w:cs="Arial" w:ascii="Arial" w:hAnsi="Arial"/>
          <w:color w:val="auto"/>
          <w:spacing w:val="0"/>
          <w:w w:val="100"/>
          <w:sz w:val="20"/>
          <w:szCs w:val="20"/>
          <w:lang w:val="ro-RO"/>
        </w:rPr>
        <w:t xml:space="preserve">alitate de {{client.representativeRole}}</w:t>
      </w:r>
      <w:r>
        <w:rPr>
          <w:rFonts w:eastAsia="Arial" w:cs="Arial" w:ascii="Arial" w:hAnsi="Arial"/>
          <w:color w:val="auto"/>
          <w:spacing w:val="0"/>
          <w:w w:val="100"/>
          <w:sz w:val="20"/>
          <w:szCs w:val="20"/>
          <w:lang w:val="ro-RO"/>
        </w:rPr>
        <w:t xml:space="preserve"> în cadrul {{client.legalName}},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Reprezentanții lucrătorilor</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cu răspunderi specifice în domeniul securității și sănătății în muncă sunt aleși de către și dintre lucrătorii din cadrul </w:t>
      </w:r>
      <w:r>
        <w:rPr>
          <w:rStyle w:val="tpa1"/>
          <w:rFonts w:eastAsia="Arial" w:cs="Arial" w:ascii="Arial" w:hAnsi="Arial"/>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conform celor stabilite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w:t>
      </w:r>
    </w:p>
    <w:p>
      <w:pPr>
        <w:pStyle w:val="Normal"/>
        <w:widowControl/>
        <w:numPr>
          <w:ilvl w:val="0"/>
          <w:numId w:val="3"/>
        </w:numPr>
        <w:spacing w:before="120" w:after="60"/>
        <w:jc w:val="left"/>
        <w:rPr>
          <w:rStyle w:val="tpa1"/>
          <w:rFonts w:ascii="Arial" w:hAnsi="Arial" w:cs="Arial"/>
          <w:sz w:val="20"/>
          <w:szCs w:val="20"/>
        </w:rPr>
      </w:pPr>
      <w:r>
        <w:rPr>
          <w:rFonts w:eastAsia="Arial" w:cs="Arial" w:ascii="Arial" w:hAnsi="Arial"/>
          <w:color w:val="auto"/>
          <w:spacing w:val="0"/>
          <w:w w:val="100"/>
          <w:sz w:val="20"/>
          <w:szCs w:val="20"/>
          <w:lang w:val="ro-RO"/>
        </w:rPr>
        <w:t xml:space="preserve">În sensul Legii 319/2006 – </w:t>
      </w:r>
      <w:r>
        <w:rPr>
          <w:rFonts w:eastAsia="Arial" w:cs="Arial" w:ascii="Arial" w:hAnsi="Arial"/>
          <w:i/>
          <w:color w:val="auto"/>
          <w:spacing w:val="0"/>
          <w:w w:val="100"/>
          <w:sz w:val="20"/>
          <w:szCs w:val="20"/>
          <w:lang w:val="ro-RO"/>
        </w:rPr>
        <w:t xml:space="preserve">Art. 5 lit. d)</w:t>
      </w:r>
      <w:r>
        <w:rPr>
          <w:rFonts w:eastAsia="Arial" w:cs="Arial" w:ascii="Arial" w:hAnsi="Arial"/>
          <w:color w:val="auto"/>
          <w:spacing w:val="0"/>
          <w:w w:val="100"/>
          <w:sz w:val="20"/>
          <w:szCs w:val="20"/>
          <w:lang w:val="ro-RO"/>
        </w:rPr>
        <w:t xml:space="preserve">,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keepNext/>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va fi stabilit prin « Regulamentul intern de organizare și funcționare al {{client.legalName}} »</w:t>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funcție de numărul total al lucrătorilor din cadrul </w:t>
      </w:r>
      <w:r>
        <w:rPr>
          <w:rStyle w:val="tal1"/>
          <w:rFonts w:eastAsia="Arial" w:cs="Arial" w:ascii="Arial" w:hAnsi="Arial"/>
          <w:bCs/>
          <w:color w:val="auto"/>
          <w:spacing w:val="0"/>
          <w:w w:val="100"/>
          <w:sz w:val="20"/>
          <w:szCs w:val="20"/>
          <w:lang w:val="ro-RO"/>
        </w:rPr>
        <w:t>{{client.legalName}}</w:t>
      </w:r>
      <w:r>
        <w:rPr>
          <w:rStyle w:val="tal1"/>
          <w:rFonts w:eastAsia="Arial" w:cs="Arial" w:ascii="Arial" w:hAnsi="Arial"/>
          <w:bCs/>
          <w:color w:val="auto"/>
          <w:spacing w:val="0"/>
          <w:w w:val="100"/>
          <w:sz w:val="20"/>
          <w:szCs w:val="20"/>
          <w:lang w:val="ro-RO"/>
        </w:rPr>
        <w:t>, astfel:</w:t>
      </w:r>
    </w:p>
    <w:p>
      <w:pPr>
        <w:pStyle w:val="Normal"/>
        <w:widowControl/>
        <w:numPr>
          <w:ilvl w:val="2"/>
          <w:numId w:val="2"/>
        </w:numPr>
        <w:spacing w:before="0" w:after="40"/>
        <w:jc w:val="left"/>
        <w:rPr>
          <w:rFonts w:ascii="Arial" w:hAnsi="Arial" w:cs="Arial"/>
          <w:sz w:val="20"/>
          <w:szCs w:val="20"/>
          <w:lang w:val="fr-FR"/>
        </w:rPr>
      </w:pPr>
      <w:r>
        <w:rPr>
          <w:rStyle w:val="tli1"/>
          <w:rFonts w:eastAsia="Arial" w:cs="Arial" w:ascii="Arial" w:hAnsi="Arial"/>
          <w:bCs/>
          <w:color w:val="auto"/>
          <w:spacing w:val="0"/>
          <w:w w:val="100"/>
          <w:sz w:val="20"/>
          <w:szCs w:val="20"/>
          <w:lang w:val="ro-RO"/>
        </w:rPr>
        <w:t xml:space="preserve">cel puțin un reprezentant,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10 și 49 de lucrători inclusiv</w:t>
      </w:r>
      <w:bookmarkStart w:id="0" w:name="do|caIII|si9|ar53|al2|lib"/>
      <w:r>
        <w:rPr>
          <w:rStyle w:val="tli1"/>
          <w:rFonts w:eastAsia="Arial" w:cs="Arial" w:ascii="Arial" w:hAnsi="Arial"/>
          <w:bCs/>
          <w:color w:val="auto"/>
          <w:spacing w:val="0"/>
          <w:w w:val="100"/>
          <w:sz w:val="20"/>
          <w:szCs w:val="20"/>
          <w:lang w:val="ro-RO"/>
        </w:rPr>
        <w:t>;</w:t>
      </w:r>
    </w:p>
    <w:p>
      <w:pPr>
        <w:pStyle w:val="Normal"/>
        <w:widowControl/>
        <w:numPr>
          <w:ilvl w:val="2"/>
          <w:numId w:val="2"/>
        </w:numPr>
        <w:spacing w:before="0" w:after="120"/>
        <w:jc w:val="left"/>
        <w:rPr>
          <w:rStyle w:val="tpa1"/>
          <w:rFonts w:ascii="Arial" w:hAnsi="Arial" w:cs="Arial"/>
          <w:sz w:val="20"/>
          <w:szCs w:val="20"/>
          <w:lang w:val="fr-FR"/>
        </w:rPr>
      </w:pPr>
      <w:bookmarkEnd w:id="0"/>
      <w:r>
        <w:rPr>
          <w:rStyle w:val="tli1"/>
          <w:rFonts w:eastAsia="Arial" w:cs="Arial" w:ascii="Arial" w:hAnsi="Arial"/>
          <w:bCs/>
          <w:color w:val="auto"/>
          <w:spacing w:val="0"/>
          <w:w w:val="100"/>
          <w:sz w:val="20"/>
          <w:szCs w:val="20"/>
          <w:lang w:val="ro-RO"/>
        </w:rPr>
        <w:t xml:space="preserve">cel puțin doi reprezentanți, 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w:t>
      </w:r>
      <w:r>
        <w:rPr>
          <w:rStyle w:val="tli1"/>
          <w:rFonts w:eastAsia="Arial" w:cs="Arial" w:ascii="Arial" w:hAnsi="Arial"/>
          <w:bCs/>
          <w:color w:val="auto"/>
          <w:spacing w:val="0"/>
          <w:w w:val="100"/>
          <w:sz w:val="20"/>
          <w:szCs w:val="20"/>
          <w:lang w:val="ro-RO"/>
        </w:rPr>
        <w:t xml:space="preserve"> între 50 și 100 de lucrători inclusiv</w:t>
      </w:r>
      <w:r>
        <w:rPr>
          <w:rStyle w:val="tal1"/>
          <w:rFonts w:eastAsia="Arial" w:cs="Arial" w:ascii="Arial" w:hAnsi="Arial"/>
          <w:bCs/>
          <w:color w:val="auto"/>
          <w:spacing w:val="0"/>
          <w:w w:val="100"/>
          <w:sz w:val="20"/>
          <w:szCs w:val="20"/>
          <w:lang w:val="ro-RO"/>
        </w:rPr>
        <w:t>.</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w:t>
      </w:r>
    </w:p>
    <w:p>
      <w:pPr>
        <w:pStyle w:val="Normal"/>
        <w:widowControl/>
        <w:numPr>
          <w:ilvl w:val="0"/>
          <w:numId w:val="3"/>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Reprezentanții lucrătorilor cu răspunderi specifice în domeniul securității și sănătății în muncă vor primi de asemenea o instruire corespunzătoare în domeniul securității și sănătății în muncă.</w:t>
      </w:r>
    </w:p>
    <w:p>
      <w:pPr>
        <w:pStyle w:val="Normal"/>
        <w:widowControl/>
        <w:numPr>
          <w:ilvl w:val="0"/>
          <w:numId w:val="3"/>
        </w:numPr>
        <w:spacing w:before="120" w:after="60"/>
        <w:jc w:val="left"/>
        <w:rPr>
          <w:rStyle w:val="tal1"/>
          <w:rFonts w:ascii="Arial" w:hAnsi="Arial" w:cs="Arial"/>
          <w:sz w:val="20"/>
          <w:szCs w:val="20"/>
        </w:rPr>
      </w:pPr>
      <w:r>
        <w:rPr>
          <w:rStyle w:val="tal1"/>
          <w:rFonts w:eastAsia="Arial" w:cs="Arial" w:ascii="Arial" w:hAnsi="Arial"/>
          <w:bCs/>
          <w:color w:val="auto"/>
          <w:spacing w:val="0"/>
          <w:w w:val="100"/>
          <w:sz w:val="20"/>
          <w:szCs w:val="20"/>
          <w:lang w:val="ro-RO"/>
        </w:rPr>
        <w:t xml:space="preserve">În cazul în care </w:t>
      </w:r>
      <w:r>
        <w:rPr>
          <w:rStyle w:val="tal1"/>
          <w:rFonts w:eastAsia="Arial" w:cs="Arial" w:ascii="Arial" w:hAnsi="Arial"/>
          <w:bCs/>
          <w:color w:val="auto"/>
          <w:spacing w:val="0"/>
          <w:w w:val="100"/>
          <w:sz w:val="20"/>
          <w:szCs w:val="20"/>
          <w:lang w:val="ro-RO"/>
        </w:rPr>
        <w:t xml:space="preserve">{{client.legalName}} </w:t>
      </w:r>
      <w:r>
        <w:rPr>
          <w:rStyle w:val="tal1"/>
          <w:rFonts w:eastAsia="Arial" w:cs="Arial" w:ascii="Arial" w:hAnsi="Arial"/>
          <w:bCs/>
          <w:color w:val="auto"/>
          <w:spacing w:val="0"/>
          <w:w w:val="100"/>
          <w:sz w:val="20"/>
          <w:szCs w:val="20"/>
          <w:lang w:val="ro-RO"/>
        </w:rPr>
        <w:t>va avea mai puțin de 50 de lucrători, atribuțiile comitetului de securitate și sănătate în muncă revin reprezentantului sau reprezentanților lucrătorilor cu răspunderi specifice în domeniul securității și sănătății lucrătorilor.</w:t>
      </w:r>
      <w:bookmarkStart w:id="1" w:name="do|caIII|si9|ar56|pa1"/>
    </w:p>
    <w:p>
      <w:pPr>
        <w:pStyle w:val="Normal"/>
        <w:keepNext/>
        <w:widowControl/>
        <w:numPr>
          <w:ilvl w:val="0"/>
          <w:numId w:val="3"/>
        </w:numPr>
        <w:spacing w:before="120" w:after="60"/>
        <w:jc w:val="left"/>
        <w:rPr>
          <w:rFonts w:ascii="Arial" w:hAnsi="Arial" w:cs="Arial"/>
          <w:sz w:val="20"/>
          <w:szCs w:val="20"/>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vor fi suplimentate cu următoarele preveder</w:t>
      </w:r>
      <w:bookmarkEnd w:id="1"/>
      <w:r>
        <w:rPr>
          <w:rStyle w:val="tpt1"/>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w:t>
      </w:r>
    </w:p>
    <w:p>
      <w:pPr>
        <w:pStyle w:val="Normal"/>
        <w:widowControl/>
        <w:numPr>
          <w:ilvl w:val="0"/>
          <w:numId w:val="5"/>
        </w:numPr>
        <w:spacing w:before="0" w:after="40"/>
        <w:jc w:val="left"/>
        <w:rPr>
          <w:rFonts w:ascii="Arial" w:hAnsi="Arial" w:cs="Arial"/>
          <w:sz w:val="20"/>
          <w:szCs w:val="20"/>
          <w:lang w:val="it-IT"/>
        </w:rPr>
      </w:pPr>
      <w:bookmarkStart w:id="2" w:name="do|caIII|si9|ar56|lia"/>
      <w:bookmarkEnd w:id="2"/>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3" w:name="do|caIII|si9|ar56|lib"/>
      <w:bookmarkEnd w:id="3"/>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5"/>
        </w:numPr>
        <w:spacing w:before="0" w:after="40"/>
        <w:jc w:val="left"/>
        <w:rPr>
          <w:rFonts w:ascii="Arial" w:hAnsi="Arial" w:cs="Arial"/>
          <w:sz w:val="20"/>
          <w:szCs w:val="20"/>
          <w:lang w:val="es-ES"/>
        </w:rPr>
      </w:pPr>
      <w:bookmarkStart w:id="4" w:name="do|caIII|si9|ar56|lic"/>
      <w:bookmarkEnd w:id="4"/>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5"/>
        </w:numPr>
        <w:spacing w:before="0" w:after="40"/>
        <w:jc w:val="left"/>
        <w:rPr>
          <w:rFonts w:ascii="Arial" w:hAnsi="Arial" w:cs="Arial"/>
          <w:sz w:val="20"/>
          <w:szCs w:val="20"/>
          <w:lang w:val="es-ES"/>
        </w:rPr>
      </w:pPr>
      <w:bookmarkStart w:id="5" w:name="do|caIII|si9|ar56|lid"/>
      <w:bookmarkEnd w:id="5"/>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5"/>
        </w:numPr>
        <w:spacing w:before="0" w:after="40"/>
        <w:jc w:val="left"/>
        <w:rPr>
          <w:rFonts w:ascii="Arial" w:hAnsi="Arial" w:cs="Arial"/>
          <w:sz w:val="20"/>
          <w:szCs w:val="20"/>
          <w:lang w:val="es-ES"/>
        </w:rPr>
      </w:pPr>
      <w:bookmarkStart w:id="6" w:name="do|caIII|si9|ar56|lie"/>
      <w:bookmarkEnd w:id="6"/>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5"/>
        </w:numPr>
        <w:spacing w:before="0" w:after="120"/>
        <w:jc w:val="left"/>
        <w:rPr>
          <w:rStyle w:val="tli1"/>
          <w:rFonts w:ascii="Arial" w:hAnsi="Arial" w:cs="Arial"/>
          <w:sz w:val="20"/>
          <w:szCs w:val="20"/>
          <w:lang w:val="es-ES"/>
        </w:rPr>
      </w:pPr>
      <w:bookmarkStart w:id="7" w:name="do|caIII|si9|ar56|lif"/>
      <w:bookmarkEnd w:id="7"/>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3"/>
        </w:numPr>
        <w:spacing w:before="120" w:after="60"/>
        <w:jc w:val="left"/>
        <w:rPr>
          <w:rFonts w:ascii="Arial" w:hAnsi="Arial" w:cs="Arial"/>
          <w:sz w:val="20"/>
          <w:szCs w:val="20"/>
        </w:rPr>
      </w:pPr>
      <w:r>
        <w:rPr>
          <w:rFonts w:ascii="Arial" w:hAnsi="Arial" w:cs="Arial" w:eastAsia="Arial"/>
          <w:color w:val="auto"/>
          <w:sz w:val="20"/>
          <w:szCs w:val="20"/>
          <w:lang w:val="ro-RO"/>
        </w:rPr>
        <w:t xml:space="preserve">Ca urmare a alegerii făcute de lucrătorii angajați în cadrul {{client.legalName}}, potrivit prevederilor « Regulamentului intern de organizare și funcționare al {{client.legalName}} » privind alegerea și desemnarea reprezentanților lucrătorilor cu răspunderi specifice în domeniul securității și sănătății în muncă, {{client.representativeName}}, având funcția de {{client.representativeRole}} în cadrul {{client.legalName}}, începând cu data de {{issueDate}}, desemnează în funcția de reprezentant al lucrătorilor cu răspunderi specifice în domeniul securității și sănătății în muncă pe {{workersRepresentativesLead}}:</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widowControl/>
        <w:numPr>
          <w:ilvl w:val="1"/>
          <w:numId w:val="3"/>
        </w:numPr>
        <w:spacing w:before="0" w:after="40"/>
        <w:jc w:val="left"/>
        <w:rPr>
          <w:rFonts w:ascii="Arial" w:hAnsi="Arial" w:cs="Arial"/>
          <w:sz w:val="20"/>
          <w:szCs w:val="20"/>
        </w:rPr>
      </w:pPr>
      <w:r>
        <w:rPr>
          <w:rFonts w:eastAsia="Arial" w:cs="Arial" w:ascii="Arial" w:hAnsi="Arial"/>
          <w:color w:val="auto"/>
          <w:spacing w:val="0"/>
          <w:w w:val="100"/>
          <w:sz w:val="20"/>
          <w:szCs w:val="20"/>
          <w:lang w:val="ro-RO"/>
        </w:rPr>
        <w:t>{{name}}, având funcția de {{jobTitle}}.</w:t>
      </w:r>
    </w:p>
    <w:p>
      <w:pPr>
        <w:pStyle w:val="Normal"/>
        <w:widowControl/>
        <w:numPr>
          <w:ilvl w:val="1"/>
          <w:numId w:val="3"/>
        </w:numPr>
        <w:spacing w:before="0" w:after="120"/>
        <w:jc w:val="left"/>
        <w:rPr>
          <w:rFonts w:ascii="Arial" w:hAnsi="Arial" w:cs="Arial"/>
          <w:sz w:val="20"/>
          <w:szCs w:val="20"/>
        </w:rPr>
      </w:pPr>
      <w:r>
        <w:rPr>
          <w:rFonts w:eastAsia="Arial" w:cs="Arial" w:ascii="Arial" w:hAnsi="Arial"/>
          <w:color w:val="auto"/>
          <w:spacing w:val="0"/>
          <w:w w:val="100"/>
          <w:sz w:val="20"/>
          <w:szCs w:val="20"/>
          <w:lang w:val="ro-RO"/>
        </w:rPr>
        <w:t>{{/workersRepresentatives}}</w:t>
      </w:r>
    </w:p>
    <w:p>
      <w:pPr>
        <w:pStyle w:val="Normal"/>
        <w:keepNext w:val="true"/>
        <w:widowControl/>
        <w:spacing w:before="480" w:after="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{{client.legalName}}</w:t>
      </w:r>
    </w:p>
    <w:p>
      <w:pPr>
        <w:pStyle w:val="Normal"/>
        <w:keepNext w:val="true"/>
        <w:widowControl/>
        <w:spacing w:before="0" w:after="240"/>
        <w:ind w:hanging="0" w:left="0" w:right="0"/>
        <w:jc w:val="center"/>
        <w:rPr>
          <w:rFonts w:ascii="Arial" w:hAnsi="Arial" w:cs="Arial"/>
          <w:color w:val="0000FF"/>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color w:val="0000FF"/>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mnată confirmă că a luat cunoștință de prezenta decizie și se obligă să respecte întocmai obligațiile, atribuțiile și răspunderile ce reies din decizia Nr. {{decisionNumber}} SSM din {{issueDate}}.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color w:val="0070C0"/>
                <w:sz w:val="20"/>
                <w:szCs w:val="20"/>
              </w:rPr>
            </w:pPr>
            <w:r>
              <w:rPr>
                <w:rFonts w:eastAsia="Arial" w:cs="Arial" w:ascii="Arial" w:hAnsi="Arial"/>
                <w:color w:val="auto"/>
                <w:spacing w:val="0"/>
                <w:w w:val="100"/>
                <w:sz w:val="20"/>
                <w:szCs w:val="20"/>
                <w:lang w:val="ro-RO"/>
              </w:rPr>
              <w:t>{{#workersRepresentatives}}{{name}}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{{issueDate}}{{/workersRepresentatives}}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4"/>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360"/>
        </w:tabs>
        <w:ind w:left="36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3">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rFonts w:ascii="Arial" w:hAnsi="Arial" w:cs="Arial"/>
      <w:b/>
      <w:i w:val="false"/>
      <w:sz w:val="18"/>
      <w:szCs w:val="18"/>
    </w:rPr>
  </w:style>
  <w:style w:type="character" w:styleId="WW8Num1z1">
    <w:name w:val="WW8Num1z1"/>
    <w:rPr>
      <w:b/>
      <w:i w:val="false"/>
      <w:sz w:val="18"/>
      <w:szCs w:val="18"/>
    </w:rPr>
  </w:style>
  <w:style w:type="character" w:styleId="WW8Num2z0">
    <w:name w:val="WW8Num2z0"/>
    <w:rPr>
      <w:rFonts w:ascii="Symbol" w:hAnsi="Symbol" w:cs="Symbol"/>
    </w:rPr>
  </w:style>
  <w:style w:type="character" w:styleId="WW8Num3z0">
    <w:name w:val="WW8Num3z0"/>
    <w:rPr>
      <w:rFonts w:ascii="Arial" w:hAnsi="Arial" w:cs="Arial"/>
      <w:b/>
      <w:sz w:val="18"/>
      <w:szCs w:val="18"/>
    </w:rPr>
  </w:style>
  <w:style w:type="character" w:styleId="WW8Num3z1">
    <w:name w:val="WW8Num3z1"/>
    <w:rPr>
      <w:b/>
    </w:rPr>
  </w:style>
  <w:style w:type="character" w:styleId="WW8Num6z0">
    <w:name w:val="WW8Num6z0"/>
    <w:rPr>
      <w:rFonts w:ascii="Arial" w:hAnsi="Arial" w:eastAsia="Times New Roman" w:cs="Arial"/>
    </w:rPr>
  </w:style>
  <w:style w:type="character" w:styleId="WW8Num6z1">
    <w:name w:val="WW8Num6z1"/>
    <w:rPr>
      <w:rFonts w:ascii="Courier New" w:hAnsi="Courier New" w:cs="Courier New"/>
    </w:rPr>
  </w:style>
  <w:style w:type="character" w:styleId="WW8Num6z2">
    <w:name w:val="WW8Num6z2"/>
    <w:rPr>
      <w:rFonts w:ascii="Wingdings" w:hAnsi="Wingdings" w:cs="Wingdings"/>
    </w:rPr>
  </w:style>
  <w:style w:type="character" w:styleId="WW8Num6z3">
    <w:name w:val="WW8Num6z3"/>
    <w:rPr>
      <w:rFonts w:ascii="Symbol" w:hAnsi="Symbol" w:cs="Symbol"/>
    </w:rPr>
  </w:style>
  <w:style w:type="character" w:styleId="WW8Num7z0">
    <w:name w:val="WW8Num7z0"/>
    <w:rPr>
      <w:rFonts w:ascii="Arial" w:hAnsi="Arial" w:cs="Arial"/>
      <w:b/>
      <w:sz w:val="22"/>
      <w:szCs w:val="22"/>
    </w:rPr>
  </w:style>
  <w:style w:type="character" w:styleId="WW8Num8z0">
    <w:name w:val="WW8Num8z0"/>
    <w:rPr>
      <w:rFonts w:ascii="Arial" w:hAnsi="Arial" w:cs="Arial"/>
      <w:b/>
      <w:i w:val="false"/>
      <w:sz w:val="18"/>
      <w:szCs w:val="18"/>
      <w:lang w:val="it-IT"/>
    </w:rPr>
  </w:style>
  <w:style w:type="character" w:styleId="WW8Num9z0">
    <w:name w:val="WW8Num9z0"/>
    <w:rPr>
      <w:rFonts w:ascii="Symbol" w:hAnsi="Symbol" w:cs="Symbol"/>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10z0">
    <w:name w:val="WW8Num10z0"/>
    <w:rPr>
      <w:b/>
      <w:sz w:val="24"/>
      <w:szCs w:val="24"/>
    </w:rPr>
  </w:style>
  <w:style w:type="character" w:styleId="WW8Num10z1">
    <w:name w:val="WW8Num10z1"/>
    <w:rPr/>
  </w:style>
  <w:style w:type="character" w:styleId="WW8Num11z0">
    <w:name w:val="WW8Num11z0"/>
    <w:rPr/>
  </w:style>
  <w:style w:type="character" w:styleId="WW8Num11z1">
    <w:name w:val="WW8Num11z1"/>
    <w:rPr>
      <w:rFonts w:ascii="Times New Roman" w:hAnsi="Times New Roman" w:eastAsia="Times New Roman" w:cs="Times New Roman"/>
    </w:rPr>
  </w:style>
  <w:style w:type="character" w:styleId="WW8Num14z0">
    <w:name w:val="WW8Num14z0"/>
    <w:rPr>
      <w:b/>
      <w:sz w:val="28"/>
    </w:rPr>
  </w:style>
  <w:style w:type="character" w:styleId="WW8Num15z0">
    <w:name w:val="WW8Num15z0"/>
    <w:rPr>
      <w:b/>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Hyperlink">
    <w:name w:val="Hyperlink"/>
    <w:rPr>
      <w:b/>
      <w:bCs/>
      <w:u w:val="single"/>
    </w:rPr>
  </w:style>
  <w:style w:type="character" w:styleId="pt1">
    <w:name w:val="pt1"/>
    <w:rPr>
      <w:b/>
      <w:bCs/>
    </w:rPr>
  </w:style>
  <w:style w:type="character" w:styleId="tpt1">
    <w:name w:val="tpt1"/>
    <w:basedOn w:val="DefaultParagraphFont"/>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2</Pages>
  <Words>654</Words>
  <Characters>4484</Characters>
  <CharactersWithSpaces>5071</CharactersWithSpaces>
  <Paragraphs>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2020-07-29T14:23:00Z</dcterms:created>
  <dc:creator>Jinaru Adam Marian</dc:creator>
  <dc:description/>
  <dc:language>en-US</dc:language>
  <cp:lastModifiedBy/>
  <cp:lastPrinted>2016-10-24T11:47:00Z</cp:lastPrinted>
  <dcterms:modified xsi:type="dcterms:W3CDTF">2026-09-22T22:05:55Z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