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TEMATICA DE INSTRUIRE PENTRU INSTRUIREA INTRODUCTIV-GENERALĂ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MISSMIG Art. 1 – 325;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ascii="Arial" w:hAnsi="Arial" w:cs="Arial" w:eastAsia="Arial"/>
          <w:color w:val="auto"/>
          <w:sz w:val="20"/>
          <w:szCs w:val="20"/>
          <w:lang w:val="ro-RO"/>
        </w:rPr>
        <w:t xml:space="preserve">SUBCAPITOLUL I.I PLANUL DE DESFĂȘURARE A INSTRUIRII INTRODUCTIV-GENERALE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16 – 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 – 80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81 – 96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97 – 108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109 – 120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121 – 151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152 – 210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211 – 235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236 – 267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268 – 277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278 – 290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291 – 299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300 – 324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legale privind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325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1028/2006, H.G. 1146/2006, H.G. 493/2006, H.G. 259/2022; I.P.S.S.M. Art. 1 – 290;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ascii="Arial" w:hAnsi="Arial" w:cs="Arial" w:eastAsia="Arial"/>
          <w:color w:val="auto"/>
          <w:sz w:val="20"/>
          <w:szCs w:val="20"/>
          <w:lang w:val="ro-RO"/>
        </w:rPr>
        <w:t xml:space="preserve">SUBCAPITOLUL II.I PLANUL DE DESFĂȘURARE A INSTRUIRII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I.P.S.S.M.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45 – 46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47 – 56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57 – 63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circulația pietonilor și circulația bicicliștilor (atât în interiorul unității,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64 – 95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96 – 159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160 – 179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 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180 – 194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195 – 235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236 – 255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256 – 290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la nivelul locurilor de muncă și/ sau posturilor de lucru privind acordarea, utilizarea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ascii="Arial" w:hAnsi="Arial" w:cs="Arial" w:eastAsia="Arial"/>
          <w:color w:val="auto"/>
          <w:sz w:val="20"/>
          <w:szCs w:val="20"/>
          <w:lang w:val="ro-RO"/>
        </w:rPr>
        <w:t xml:space="preserve">CAPITOLUL III. TEMATICA DE INSTRUIRE ȘI PLANUL DE DESFĂȘURARE A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