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 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dacă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Acest principiu de evaluare a riscurilor este inclus deja în standardele europene (CEI 812/1985,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Obligativitatea evaluării riscurilor la locurile de muncă în țara noastră decurge din legislația actuală în domeniu, care a fost armonizată cu legislația Uniunii Europene privind sănătatea și securitatea în muncă. În Legea 319/2006 a securității și sănătății în muncă se prevede la art. 7 alin.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evalueze riscurile pentru securitatea și sănătatea lucrătorilor, inclusiv la alegerea echipamentelor de muncă, a substanțelor sau preparatelor chimice utilizate și la amenajarea locurilor de muncă”, iar la art. 12 alin.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Normele metodologice de aplicare a Legii 319/2006 la art. 15 alin.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„Activitățile de prevenire și protecție ... sunt următoarele: identificarea pericolelor și evaluarea riscurilor pentru fiecare componentă a sistemului de muncă, pe locuri de muncă/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Îndeplinirea efectivă a acestei obligații legale se realizează de către personalul din cadrul serviciului de securitate a muncii, cu sprijinul instituțiilor de specialitate sau al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facilitarea îndeplinirii obligațiilor legale ale angajatorilor în domeniul evaluării riscurilor de accidentare și îmbolnăvire profesională au fost concepute și sunt utilizate în prezent un număr relativ mare de metode de evaluare 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Protecției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Partea a doua a lucrării este dedicată prezentării modului concret de utilizare a metodei I.N.C.D.P.M. București în vederea evaluării riscurilor de accidentare și îmbolnăvire profesională pentru locurile de muncă din unitatea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s-au luat în calcul evenimentele de muncă produse în cadrul unității până la data de {{issueDate}}, ponderea evenimentelor de muncă ce au avut loc în unitate, specifică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unim cele trei dreptunghiuri printr-o linie trasată prin vârfurile care nu sunt pe axele de coordonate, obținem o curbă cu alură de hiperbolă, care descrie legătura dintre cele două variabile: gravitate – probabilitate. Pentru reprezentarea riscului în funcție de gravitate și probabilitate, standardul CEI 812/1985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atribuirea nivelurilor de risc în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analoage, în funcție de natura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punctul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Probabilitatea de a acționa într-o anumită manieră generatoare de accident nu poate fi decât aproximată. În alte situații, calculul necesitat de determinarea riguroasă a probabilității de producere a consecinței este atât de 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cele trei cazuri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acest motiv, dacă utilizăm intervalele precizate în CEI 812/1985, obținem 6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Mai întâi, deoarece gravitatea este un element mai important din punctul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BodyText"/>
        <w:keepN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drawing>
          <wp:inline distT="0" distB="0" distL="0" distR="0">
            <wp:extent cx="2057400" cy="1791970"/>
            <wp:effectExtent l="0" t="0" r="0" b="0"/>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inline>
        </w:drawing>
      </w:r>
      <w:r>
        <w:br/>
      </w: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prin cele două puncte astfel stabilite o curbă având alura curbei de acceptabilitate stabilită prin CEI 812/1985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(1,2) (1,3) (1,4) (1,5) (1,6) (2,1);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(2,3) (2,4) (3,1) (3,2) (4,1);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(2,6) (3,3) (3,4) (4,2) (5,1) (6,1) (7,1);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(3,6) (4,3) (4,4) (5,2) (5,3) (6,2) (7,2);</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(4,6) (5,4) (5,5) (6,3) (7,3);</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(6,4) (6,5) (7,4);</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(7,5) (7,6).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Autorii metodei elaborate în cadrul I.N.C.D.P.M. București consideră că pentru țara noastră ar fi indicat ca nivelul de risc maxim acceptabil să corespundă nivelului 3,5. Aceasta ar însemna în primul rând ca autorizarea de funcționare a agenților economici din punctul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 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 xml:space="preserve">determinarea nivelului de risc parțial și nivelului de risc global pentru postul de lucru/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 xml:space="preserve">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 xml:space="preserve">frecvența de producere: o dată la 5 –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ascii="Arial" w:hAnsi="Arial" w:cs="Arial" w:eastAsia="Arial"/>
          <w:color w:val="auto"/>
          <w:sz w:val="20"/>
          <w:szCs w:val="20"/>
          <w:lang w:val="ro-RO"/>
        </w:rPr>
        <w:t xml:space="preserve">Grila de evaluare a riscurilor (Anexa 4) este de fapt transpunerea sub formă tabelară a graficului din figura 1.5 b prezentat în subcapitolul precedent. Liniile din tabel sunt liniile claselor de gravitate din grafic, iar coloanele – coloanele claselor de probabilitate. Fiecare căsuță corespunde câte unui punct din grafic, de coordonatele g, p.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ascii="Arial" w:hAnsi="Arial" w:cs="Arial" w:eastAsia="Arial"/>
          <w:color w:val="auto"/>
          <w:sz w:val="20"/>
          <w:szCs w:val="20"/>
          <w:lang w:val="ro-RO"/>
        </w:rPr>
        <w:t xml:space="preserve">Scala cuprinde în fapt cele 7 zone din matricea Mg, p (subcapitolul II.I),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 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keepNext/>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obținut în urma procedurilor anterioare se identifică în Grila de evaluare a riscurilor (Anexa 4) și se înscrie în Fișa locului de muncă (capitolul V, punctul III al fiecărei evaluări). Cu ajutorul scalei de încadrare a nivelurilor de risc/ securitate se determină apoi aceste niveluri pentru fiecare factor de risc în parte. Se obține astfel o ierarhizare a dimensiunii riscurilor la locul de muncă, ceea ce dă posibilitatea stabilirii unei priorități a măsurilor de prevenire și protecție, în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ascii="Arial" w:hAnsi="Arial" w:cs="Arial" w:eastAsia="Arial"/>
          <w:color w:val="auto"/>
          <w:sz w:val="20"/>
          <w:szCs w:val="20"/>
          <w:lang w:val="ro-RO"/>
        </w:rPr>
        <w:t xml:space="preserve">Nivelul de securitate (NS) pe loc de muncă se identifică pe Scala de încadrare a nivelurilor de risc/ securitate, construită pe principiul proporționalității inverse dintre nivelul de risc și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 secția/ sectorul sau întreprinderea investigată – N</w:t>
      </w:r>
      <w:r>
        <w:rPr>
          <w:rFonts w:eastAsia="Arial" w:cs="Arial" w:ascii="Arial" w:hAnsi="Arial"/>
          <w:color w:val="auto"/>
          <w:spacing w:val="0"/>
          <w:w w:val="100"/>
          <w:sz w:val="20"/>
          <w:szCs w:val="20"/>
          <w:vertAlign w:val="subscript"/>
          <w:lang w:val="ro-RO"/>
        </w:rPr>
        <w:t>g</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stabilirea măsurilor necesare îmbunătățirii nivelului de securitate a sistemului de muncă analizat se impune luarea în considerare a ierarhiei riscurilor evaluate, conform Scalei de încadrare a nivelurilor de risc/ 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corect și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Sediu social și puncte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{{label}}: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 xml:space="preserve">Luând în considerare că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unei evaluări obiective și actualizate periodic, care contribuie în mod cert la creșterea performanțelor productive ale angajaților, la eficiența proceselor de muncă și la creșterea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s-au stabilit necesitatea întocmirii unor noi proceduri,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Procedura de lucru a metodei de evaluare prin analiză sistematică cuprinde, pe lângă etapele propriu-zise, și alte activități (valabile pentru fiecare loc de muncă/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ascii="Arial" w:hAnsi="Arial" w:cs="Arial" w:eastAsia="Arial"/>
          <w:color w:val="auto"/>
          <w:sz w:val="20"/>
          <w:szCs w:val="20"/>
          <w:lang w:val="ro-RO"/>
        </w:rPr>
        <w:t xml:space="preserve">V.1. completarea metodei prin efectuarea ierarhizării riscurilor evaluate;</w:t>
      </w:r>
    </w:p>
    <w:p>
      <w:pPr>
        <w:pStyle w:val="Normal"/>
        <w:widowControl/>
        <w:spacing w:before="0" w:after="40"/>
        <w:ind w:left="720"/>
        <w:jc w:val="left"/>
        <w:rPr>
          <w:rFonts w:ascii="Arial" w:hAnsi="Arial" w:cs="Arial"/>
          <w:sz w:val="18"/>
          <w:szCs w:val="18"/>
        </w:rPr>
      </w:pPr>
      <w:r>
        <w:rPr>
          <w:rFonts w:ascii="Arial" w:hAnsi="Arial" w:cs="Arial" w:eastAsia="Arial"/>
          <w:color w:val="auto"/>
          <w:sz w:val="20"/>
          <w:szCs w:val="20"/>
          <w:lang w:val="ro-RO"/>
        </w:rPr>
        <w:t xml:space="preserve">V.2. determinarea nivelului de risc parțial și nivelului de risc global pentru postul de lucru/ loc de muncă evaluat;</w:t>
      </w:r>
    </w:p>
    <w:p>
      <w:pPr>
        <w:pStyle w:val="Normal"/>
        <w:widowControl/>
        <w:spacing w:before="0" w:after="40"/>
        <w:ind w:left="720"/>
        <w:jc w:val="left"/>
        <w:rPr>
          <w:rFonts w:ascii="Arial" w:hAnsi="Arial" w:cs="Arial"/>
          <w:sz w:val="18"/>
          <w:szCs w:val="18"/>
        </w:rPr>
      </w:pPr>
      <w:r>
        <w:rPr>
          <w:rFonts w:ascii="Arial" w:hAnsi="Arial" w:cs="Arial" w:eastAsia="Arial"/>
          <w:color w:val="auto"/>
          <w:sz w:val="20"/>
          <w:szCs w:val="20"/>
          <w:lang w:val="ro-RO"/>
        </w:rPr>
        <w:t xml:space="preserve">V.3. 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abrazive;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tcMar>
              <w:left w:w="28" w:type="dxa"/>
              <w:right w:w="28" w:type="dxa"/>
            </w:tcM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Leziuni ale organelor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Cataractă</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Conjunctivite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Afecțiuni psihice/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 xml:space="preserve">consecințe reversibile cu o incapacitate de muncă previzibilă între 45 – 180 zile care necesită tratament medical și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SCALA DE ÎNCADRARE A NIVELURILOR DE RISC/ 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ascii="Arial" w:hAnsi="Arial" w:cs="Arial" w:eastAsia="Arial"/>
          <w:color w:val="auto"/>
          <w:sz w:val="20"/>
          <w:szCs w:val="20"/>
          <w:lang w:val="ro-RO"/>
        </w:rPr>
        <w:t xml:space="preserve">Darabont, Al., Darabont, Dan, Constantin, G., Darabont, Doru, Evaluarea calității de securitate a echipamentelor tehnice,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 xml:space="preserve">Legea 319/2006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 xml:space="preserve">.</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 xml:space="preserve">H.G. 1425</w:t>
      </w:r>
      <w:r>
        <w:rPr>
          <w:rFonts w:eastAsia="Arial" w:cs="Arial" w:ascii="Arial" w:hAnsi="Arial"/>
          <w:b/>
          <w:bCs/>
          <w:color w:val="auto"/>
          <w:spacing w:val="0"/>
          <w:w w:val="100"/>
          <w:sz w:val="20"/>
          <w:szCs w:val="20"/>
          <w:lang w:val="ro-RO"/>
        </w:rPr>
        <w:t xml:space="preserve">/2006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privind aprobarea Normelor metodologice de aplicare a Legii 319/2006.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 259/2022 </w:t>
      </w:r>
      <w:r>
        <w:rPr>
          <w:rFonts w:eastAsia="Arial" w:cs="Arial" w:ascii="Arial" w:hAnsi="Arial"/>
          <w:bCs/>
          <w:color w:val="auto"/>
          <w:spacing w:val="0"/>
          <w:w w:val="100"/>
          <w:sz w:val="20"/>
          <w:szCs w:val="20"/>
          <w:lang w:val="ro-RO"/>
        </w:rPr>
        <w:t xml:space="preserve">pentru modificarea și completarea Normelor metodologice de aplicare a prevederilor Legii 319/2006, aprobate prin H.G. 1425/2006</w:t>
      </w:r>
      <w:r>
        <w:rPr>
          <w:rFonts w:eastAsia="Arial" w:cs="Arial" w:ascii="Arial" w:hAnsi="Arial"/>
          <w:bCs/>
          <w:i/>
          <w:color w:val="auto"/>
          <w:spacing w:val="0"/>
          <w:w w:val="100"/>
          <w:sz w:val="20"/>
          <w:szCs w:val="20"/>
          <w:lang w:val="ro-RO"/>
        </w:rPr>
        <w:t xml:space="preserve">.</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 xml:space="preserve">III. FIȘA DE EVALUARE A RISCURILOR DE ACCIDENTARE ȘI/ 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 factor de risc identificat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Analiza s-a făcut prin examinarea tuturor activităților declarate de angajator că se desfășoară în cadrul {{client.legalName}}, ținându-se seama de situația existentă la data evaluării (metode de lucru, personal existent, dotare tehnică, condiții de mediu,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Protecției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Însușirea și respectarea normelor de protecție a muncii și a măsurilor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cunoștința conducătorului locului de muncă a oricărei defecțiuni tehnice sau a oricărei alte situații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Completarea semnalizării de securitate și/ 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adecvată, câte 2 – 4 litri/ persoană/ schimb); perioada rece (ceai fierbinte, în cantitate de 0,5 – 1 litru/ persoană/ schimb);</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Locul de muncă/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Lucrătorii au fost consultați și au participat la evaluarea riscurilor, potrivit art. 18 din Legea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Evaluarea riscurilor se revizuiește, împreună cu planul de prevenire și protecție care decurge din ea, ori de câte ori intervin modificări ale condițiilor de muncă, respectiv la apariția unor riscuri noi și în urma producerii unui eveniment (art. 15 alin. (3) și art. 46 alin. (1) din H.G.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