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de constituire echipa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anual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Regulament intern privind controlul propriu privind respectarea prevederilor legale, a dispozițiilor, instrucțiunilor și reglementărilor interne în domeniul securității și sănătății în muncă (cod M.I.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 Comunicarea, cercetarea, înregistrarea și raportarea evenimentelor, accidente de muncă și boli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right="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alin. 6)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a urmat cel puțin un program de pregătire în domeniul securității și sănătății în muncă, cu o durată minimă de 40 de ore și conținutul prevăzut în anexa nr. 6 lit. A din H.G. 1425/ 2006, fapt care se atesta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Angajatorul va desemna lucrătorul numai din rândul lucrătorilor cu care are încheiat contract individual de muncă cu norma întreaga.</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clauze privind soluționarea litigiilor apărute între parti.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lucrătorilor în domeniul securității și sănătății în muncă se va efectua în timpul programului de lucru, fie în interiorul, fie în afara întreprinderii și/ sau unității.</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și are denumire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Style w:val="tal1"/>
          <w:rFonts w:ascii="Arial" w:hAnsi="Arial" w:cs="Arial"/>
          <w:sz w:val="18"/>
          <w:szCs w:val="18"/>
          <w:lang w:val="fr-FR"/>
        </w:rPr>
      </w:pPr>
      <w:bookmarkStart w:id="13" w:name="do|caV|si3|ar91|al2"/>
      <w:bookmarkEnd w:id="13"/>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poarta denumire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în funcție de sarcinile de muncă desfășurată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VII. Comunicarea, cercetarea, înregistrarea și raportarea evenimentelor, accidente de muncă și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are următorul înțeles: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261/ 2001</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Privind criteriile și metodologia de încadrare a locurilor de muncă în condiții deosebite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Completarea măsurilor destinate să promoveze îmbunătățirea securității și sănătății la locul de muncă pentru salariații încadrați în baza unui contract individual de muncă pe durata determinată și pentru salariații temporari încadrați la agenți de muncă temporară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Toate informațiile necesare cu privire la modul de utilizare, depozitarea, întreținerea și mentenanta, specificații tehnice și principii de funcționare și a sistemelor de control și securitate, obligații și atenționări specifice, pentru a putea obține maximum de eficiență, performante ridicate și evitarea producerii de accidente cauzate de mijlocul de producție pentru fiecare echipament de muncă din dotarea unității.</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Lista internă cu necesarul de dotare cu echipament individual de protecție (e.i.p.) a lucrătorilor</w:t>
            </w:r>
          </w:p>
        </w:tc>
      </w:tr>
      <w:tr>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 atribuții și răspunderi în domeniul situațiilor de urgența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scopul realizării obiectivelor prevăzute la art. 3, lit. a) și c) din prezenta anexa,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situațiilor de urgența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periodice în domeniul situațiilor de urgența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în domeniul situațiilor de urgența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securității și sănătății în muncă (conform legii 319/ 2006 și H.G. 1425/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Obligațiile, atribuțiile și răspunderile în domeniul situațiilor de urgența (conform legii 307/ 2006), valabile pentru șefii locurilor de muncă vor fi aceleași cu ale lucrătorilor doar ca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următoarea prevede</w:t>
      </w:r>
      <w:bookmarkEnd w:id="14"/>
      <w:r>
        <w:rPr>
          <w:rStyle w:val="tpt1"/>
          <w:rFonts w:eastAsia="Arial" w:cs="Arial" w:ascii="Arial" w:hAnsi="Arial"/>
          <w:color w:val="auto"/>
          <w:spacing w:val="0"/>
          <w:w w:val="100"/>
          <w:sz w:val="20"/>
          <w:szCs w:val="20"/>
          <w:lang w:val="ro-RO"/>
        </w:rPr>
        <w:t>ri</w:t>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vor fi suplimentate cu următoarea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întocmirea rapoartelor și/ sau a listelor prevăzute de hotărârile Guvernului emise în temeiul,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evaluarea riscurilor pentru securitatea și sănătatea lucrătorilor în vedea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ceara revizuirea acesteia în cazul modificării condițiilor inițiale pentru care a fost emisa;</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care își schimbă locul de muncă sau felul muncii sau își reia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noua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pentru angajații cu contract de muncă pe durata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să asigure efectuare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ia măsurile necesare informării compartimentului de securitate a muncii sau lucrătorului desemnat despre angajații care au relatii de muncă cu durata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asigure ca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periodic sau ori de câte ori este cazul, verificarea încadrării nivelului noxelor în limitele admise, prin măsurători efectuate de către organismele abilitate(dacă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comunice, cerceteze, înregistreze, declare și să tina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anunțe imediat producerea de avarii tehnice, evenimente, accidente de muncă sau îmbolnăviri profesionale la inspectoratul teritorial de muncă și organele de urmărire penale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în cazul în care temperaturile atmosferice sau cele din spațiul de lucru sunt ridicate și pot afecta sănătatea (peste 30</w:t>
      </w:r>
      <w:r>
        <w:rPr>
          <w:rFonts w:eastAsia="Arial" w:cs="Arial" w:ascii="Arial" w:hAnsi="Arial"/>
          <w:bCs/>
          <w:color w:val="auto"/>
          <w:spacing w:val="0"/>
          <w:w w:val="100"/>
          <w:sz w:val="20"/>
          <w:szCs w:val="20"/>
          <w:vertAlign w:val="superscript"/>
          <w:lang w:val="ro-RO"/>
        </w:rPr>
        <w:t>0</w:t>
      </w:r>
      <w:r>
        <w:rPr>
          <w:rFonts w:eastAsia="Arial" w:cs="Arial" w:ascii="Arial" w:hAnsi="Arial"/>
          <w:bCs/>
          <w:color w:val="auto"/>
          <w:spacing w:val="0"/>
          <w:w w:val="100"/>
          <w:sz w:val="20"/>
          <w:szCs w:val="20"/>
          <w:lang w:val="ro-RO"/>
        </w:rPr>
        <w:t>C), în funcție de posibilități, aer condiționat sau ventilație. În cazul în care acest lucru nu este posibil se va asigura un litru de apa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să participe la evaluarea riscurilor privind îmbolnăvirilor</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Pentru asigurarea atribuțiilor ce revin structurilor medicale de medicina muncii, angajatorul vor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Angajatorii nu au dreptul să intervină prin nici 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Angajatorul va cere medicului de medicină a muncii să evaluează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introductiv 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Instruirea de securitate și sănătate a muncii se efectuează de lucrătorul cu atribuții în domeniul securității muncii sau de serviciul extern de prevenire și protecție.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efectuează de lucrătorul cu atribuții în domeniul securității muncii sau de serviciul extern de prevenire și protecție.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1,30 ore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Cadrul tehnic PSI - SU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mijloacelor tehnice, echipamentelor de protecție, substanțelor chimice de stingere care sunt specifice riscurilor care decurg din existența și funcționarea unității, precum și a medicamentelor și antidotului necesare acordării primului ajutor, conform art. 19, litera n din Legea nr.307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oprească lucru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refuze întemeiat executarea unei sarcini de muncă dacă acesta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au dreptul să ceara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și anume </w:t>
      </w:r>
      <w:r>
        <w:rPr>
          <w:rStyle w:val="tli1"/>
          <w:rFonts w:eastAsia="Arial" w:cs="Arial" w:ascii="Arial" w:hAnsi="Arial"/>
          <w:color w:val="auto"/>
          <w:spacing w:val="0"/>
          <w:w w:val="100"/>
          <w:sz w:val="20"/>
          <w:szCs w:val="20"/>
          <w:lang w:val="ro-RO"/>
        </w:rPr>
        <w:t>15 ore pe lună.</w:t>
      </w:r>
    </w:p>
    <w:p>
      <w:pPr>
        <w:pStyle w:val="Normal"/>
        <w:keepNext/>
        <w:widowControl/>
        <w:numPr>
          <w:ilvl w:val="0"/>
          <w:numId w:val="7"/>
        </w:numPr>
        <w:spacing w:before="0" w:after="40"/>
        <w:jc w:val="left"/>
        <w:rPr>
          <w:rStyle w:val="tal1"/>
          <w:rFonts w:ascii="Arial" w:hAnsi="Arial" w:cs="Arial"/>
          <w:sz w:val="18"/>
          <w:szCs w:val="18"/>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vor trebui să îndeplinească c</w:t>
      </w:r>
      <w:r>
        <w:rPr>
          <w:rStyle w:val="tal1"/>
          <w:rFonts w:eastAsia="Arial" w:cs="Arial" w:ascii="Arial" w:hAnsi="Arial"/>
          <w:color w:val="auto"/>
          <w:spacing w:val="0"/>
          <w:w w:val="100"/>
          <w:sz w:val="20"/>
          <w:szCs w:val="20"/>
          <w:lang w:val="ro-RO"/>
        </w:rPr>
        <w:t>erințele minime de pregătire în domeniul securității și sănătății în muncă corespunzătoare nivelului de bază (conform HG 1425/ 2006, art. 48, 55), astfel:</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studii în învățământul liceal filiera teoretică în profil real sau filiera tehnologică în profil tehnic;</w:t>
      </w:r>
    </w:p>
    <w:p>
      <w:pPr>
        <w:pStyle w:val="Normal"/>
        <w:widowControl/>
        <w:numPr>
          <w:ilvl w:val="0"/>
          <w:numId w:val="41"/>
        </w:numPr>
        <w:spacing w:before="0" w:after="40"/>
        <w:ind w:hanging="360" w:left="1080"/>
        <w:jc w:val="left"/>
        <w:rPr>
          <w:rFonts w:ascii="Arial" w:hAnsi="Arial" w:cs="Arial"/>
          <w:sz w:val="18"/>
          <w:szCs w:val="18"/>
        </w:rPr>
      </w:pPr>
      <w:r>
        <w:rPr>
          <w:rStyle w:val="tli1"/>
          <w:rFonts w:eastAsia="Arial" w:cs="Arial" w:ascii="Arial" w:hAnsi="Arial"/>
          <w:color w:val="auto"/>
          <w:spacing w:val="0"/>
          <w:w w:val="100"/>
          <w:sz w:val="20"/>
          <w:szCs w:val="20"/>
          <w:lang w:val="ro-RO"/>
        </w:rPr>
        <w:t>curs în domeniul securității și sănătății în muncă, cu conținut minim conform celui prevăzut în anexa nr. 6 lit. A din HG 1425/ 2006, cu o durată de cel puțin 40 de ore;</w:t>
      </w:r>
    </w:p>
    <w:p>
      <w:pPr>
        <w:pStyle w:val="Normal"/>
        <w:widowControl/>
        <w:numPr>
          <w:ilvl w:val="0"/>
          <w:numId w:val="4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n</w:t>
      </w:r>
      <w:r>
        <w:rPr>
          <w:rStyle w:val="tal1"/>
          <w:rFonts w:eastAsia="Arial" w:cs="Arial" w:ascii="Arial" w:hAnsi="Arial"/>
          <w:color w:val="auto"/>
          <w:spacing w:val="0"/>
          <w:w w:val="100"/>
          <w:sz w:val="20"/>
          <w:szCs w:val="20"/>
          <w:lang w:val="ro-RO"/>
        </w:rPr>
        <w:t>ivelul de bază se atestă prin diploma de studii și certificatul de absolvire a cursului.</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hotăra prin vot secret </w:t>
      </w:r>
      <w:r>
        <w:rPr>
          <w:rStyle w:val="tal1"/>
          <w:rFonts w:eastAsia="Arial" w:cs="Arial" w:ascii="Arial" w:hAnsi="Arial"/>
          <w:color w:val="auto"/>
          <w:spacing w:val="0"/>
          <w:w w:val="100"/>
          <w:sz w:val="20"/>
          <w:szCs w:val="20"/>
          <w:lang w:val="ro-RO"/>
        </w:rPr>
        <w:t xml:space="preserve">reprezentanți lucrătorilor </w:t>
      </w:r>
      <w:r>
        <w:rPr>
          <w:rStyle w:val="tpa1"/>
          <w:rFonts w:eastAsia="Arial" w:cs="Arial" w:ascii="Arial" w:hAnsi="Arial"/>
          <w:color w:val="auto"/>
          <w:spacing w:val="0"/>
          <w:w w:val="100"/>
          <w:sz w:val="20"/>
          <w:szCs w:val="20"/>
          <w:lang w:val="ro-RO"/>
        </w:rPr>
        <w:t>cu răspunderi specifice în domeniul securității și sănătății în muncă, potrivit listei de semnături ce constituie anexa la Procesul – 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procesul – verbal de întrunire a adunării generale a salariaților va fi încheiat în 3 (trei) exemplare, din care un exemplar pentru reprezentanții salariaților, un exemplar la Departamentul Resurse umane și un exemplar la Departamentul SSM-SU-PM;</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validate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reprezentanții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până la </w:t>
      </w: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Comitetul de securitate și sănătate în muncă este constituit din reprezentanții lucrătorilor cu răspunderi specifice în domeniul securității și sănătății lucrătorilor, pe de o parte, și angajator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F</w:t>
      </w:r>
      <w:r>
        <w:rPr>
          <w:rStyle w:val="tal1"/>
          <w:rFonts w:eastAsia="Arial" w:cs="Arial" w:ascii="Arial" w:hAnsi="Arial"/>
          <w:color w:val="auto"/>
          <w:spacing w:val="0"/>
          <w:w w:val="100"/>
          <w:sz w:val="20"/>
          <w:szCs w:val="20"/>
          <w:lang w:val="ro-RO"/>
        </w:rPr>
        <w:t xml:space="preserve">iecărui reprezentant al lucrătorilor în comitetele de securitate și sănătate în muncă i se va acorda </w:t>
      </w:r>
      <w:r>
        <w:rPr>
          <w:rStyle w:val="tli1"/>
          <w:rFonts w:eastAsia="Arial" w:cs="Arial" w:ascii="Arial" w:hAnsi="Arial"/>
          <w:color w:val="auto"/>
          <w:spacing w:val="0"/>
          <w:w w:val="100"/>
          <w:sz w:val="20"/>
          <w:szCs w:val="20"/>
          <w:lang w:val="ro-RO"/>
        </w:rPr>
        <w:t>15 ore pe luna</w:t>
      </w:r>
      <w:r>
        <w:rPr>
          <w:rStyle w:val="tal1"/>
          <w:rFonts w:eastAsia="Arial" w:cs="Arial" w:ascii="Arial" w:hAnsi="Arial"/>
          <w:color w:val="auto"/>
          <w:spacing w:val="0"/>
          <w:w w:val="100"/>
          <w:sz w:val="20"/>
          <w:szCs w:val="20"/>
          <w:lang w:val="ro-RO"/>
        </w:rPr>
        <w:t xml:space="preserve"> ca și timp necesar exercitării atribuțiilor specifice în domeniul securității și sănătății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adusa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elaboreze instrucțiuni proprii de securitatea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informarea fiecărei persoane, anterior angajării, asupra riscurilor la care acesta va fi expus,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inclusive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Prin discriminare se înțelege orice deosebire, excludere, restricție sau preferinta, pe baza de rasa, naționalitate, etnie, limba, religie, categorie socială, convingeri, gen, orientare sexuală, vârsta, dizabilitate, boala cronica necontagioasă, infectare HIV ori apartenenta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evaluarea performantelor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influențarea negativă a situației lucrătorului în ceea ce privește promovarea profesională, remunerația sau veniturile de orice natură ori accesul la formarea și perfecționarea profesională, în cazul refuzului acestuia de a accepta un comportament nedorit, ce tine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