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1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 – 7</w:t>
        <w:tab/>
        <w:t xml:space="preserve">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 {{workplaceManager.name}}, {{workplaceManager.jobTitle}}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Locurile în care se desfășoară activitatea:</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{{kind}} „{{name}}”: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122"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5"/>
              <w:jc w:val="center"/>
              <w:rPr>
                <w:rFonts w:ascii="Arial" w:hAnsi="Arial" w:cs="Arial"/>
                <w:b/>
                <w:sz w:val="16"/>
              </w:rPr>
            </w:pPr>
            <w:r>
              <w:rPr>
                <w:rFonts w:eastAsia="Arial" w:cs="Arial" w:ascii="Arial" w:hAnsi="Arial"/>
                <w:b/>
                <w:color w:val="auto"/>
                <w:spacing w:val="0"/>
                <w:w w:val="100"/>
                <w:sz w:val="16"/>
                <w:szCs w:val="16"/>
                <w:lang w:val="ro-RO"/>
              </w:rPr>
              <w:t>Coapsă</w:t>
            </w:r>
          </w:p>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left="113" w:right="113"/>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Niciunul dintre factorii de risc identificați nu depășește nivelul de risc 3, astfel încât fișa nu cuprinde factori de risc din domeniul inacceptabil.</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{{#unacceptable}}{{$index}}.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{{measures}}{{/unacceptable}}</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facilităților prevăzute de legislația în vigoare în cazul temperaturilor extreme: perioada caldă(apa minerală carbogazoasă - 2-4 l/ persoană / zi); perioada rece ceai - 0.5 l / persoană/zi);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