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ecisionNumbers.openFire}}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Legii 307/2006 privind apărarea împotriva incendiilor – art. 19 lit. a) și ale OMAI 163/2007 – art. 5 lit. b), art. 17 lit. c) și art. 97–105, {{client.representativeName}}, în calitate de {{fire.representativeRoleRunOn}} în cadrul</w:t>
      </w:r>
      <w:r>
        <w:rPr>
          <w:rFonts w:eastAsia="Arial" w:cs="Arial" w:ascii="Arial" w:hAnsi="Arial"/>
          <w:bCs/>
          <w:color w:val="auto"/>
          <w:spacing w:val="0"/>
          <w:w w:val="100"/>
          <w:sz w:val="20"/>
          <w:szCs w:val="20"/>
          <w:lang w:val="ro-RO"/>
        </w:rPr>
        <w:t/>
      </w:r>
      <w:r>
        <w:rPr>
          <w:rFonts w:eastAsia="Arial" w:cs="Arial" w:ascii="Arial" w:hAnsi="Arial"/>
          <w:color w:val="auto"/>
          <w:spacing w:val="0"/>
          <w:w w:val="100"/>
          <w:sz w:val="20"/>
          <w:szCs w:val="20"/>
          <w:lang w:val="ro-RO"/>
        </w:rPr>
        <w:t xml:space="preserve"/>
      </w:r>
      <w:r>
        <w:rPr>
          <w:rStyle w:val="do1"/>
          <w:rFonts w:eastAsia="Arial" w:cs="Arial" w:ascii="Arial" w:hAnsi="Arial"/>
          <w:b w:val="false"/>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{{clien</w:t>
      </w:r>
      <w:r>
        <w:rPr>
          <w:rFonts w:eastAsia="Arial" w:cs="Arial" w:ascii="Arial" w:hAnsi="Arial"/>
          <w:color w:val="auto"/>
          <w:spacing w:val="0"/>
          <w:w w:val="100"/>
          <w:sz w:val="20"/>
          <w:szCs w:val="20"/>
          <w:lang w:val="ro-RO"/>
        </w:rPr>
        <w:t xml:space="preserve">t.legalName}}, începând </w:t>
      </w:r>
      <w:r>
        <w:rPr>
          <w:rFonts w:eastAsia="Arial" w:cs="Arial" w:ascii="Arial" w:hAnsi="Arial"/>
          <w:color w:val="auto"/>
          <w:spacing w:val="0"/>
          <w:w w:val="100"/>
          <w:sz w:val="20"/>
          <w:szCs w:val="20"/>
          <w:lang w:val="ro-RO"/>
        </w:rPr>
        <w:t>cu data de {{is</w:t>
      </w:r>
      <w:r>
        <w:rPr>
          <w:rFonts w:eastAsia="Arial" w:cs="Arial" w:ascii="Arial" w:hAnsi="Arial"/>
          <w:color w:val="auto"/>
          <w:spacing w:val="0"/>
          <w:w w:val="100"/>
          <w:sz w:val="20"/>
          <w:szCs w:val="20"/>
          <w:lang w:val="ro-RO"/>
        </w:rPr>
        <w:t>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spacing w:before="0" w:after="120"/>
        <w:ind w:hanging="0" w:right="0"/>
        <w:jc w:val="left"/>
        <w:rPr>
          <w:rStyle w:val="PageNumber"/>
          <w:rFonts w:ascii="Arial" w:hAnsi="Arial" w:cs="Arial"/>
          <w:bCs/>
          <w:sz w:val="20"/>
          <w:szCs w:val="20"/>
        </w:rPr>
      </w:pPr>
      <w:r>
        <w:rPr>
          <w:rFonts w:eastAsia="Arial" w:cs="Arial" w:ascii="Arial" w:hAnsi="Arial"/>
          <w:color w:val="auto"/>
          <w:spacing w:val="0"/>
          <w:w w:val="100"/>
          <w:sz w:val="20"/>
          <w:szCs w:val="20"/>
          <w:lang w:val="ro-RO"/>
        </w:rPr>
        <w:t>Modul de reglementare a lucrărilor cu foc deschis în spațiile {{clie</w:t>
      </w:r>
      <w:r>
        <w:rPr>
          <w:rStyle w:val="PageNumber"/>
          <w:rFonts w:eastAsia="Arial" w:cs="Arial" w:ascii="Arial" w:hAnsi="Arial"/>
          <w:color w:val="auto"/>
          <w:spacing w:val="0"/>
          <w:w w:val="100"/>
          <w:sz w:val="20"/>
          <w:szCs w:val="20"/>
          <w:lang w:val="ro-RO"/>
        </w:rPr>
        <w:t xml:space="preserve">nt.legalName}}, </w:t>
      </w:r>
      <w:r>
        <w:rPr>
          <w:rFonts w:eastAsia="Arial" w:cs="Arial" w:ascii="Arial" w:hAnsi="Arial"/>
          <w:color w:val="auto"/>
          <w:spacing w:val="0"/>
          <w:w w:val="100"/>
          <w:sz w:val="20"/>
          <w:szCs w:val="20"/>
          <w:lang w:val="ro-RO"/>
        </w:rPr>
        <w:t>astfel</w:t>
      </w:r>
      <w:r>
        <w:rPr>
          <w:rStyle w:val="PageNumber"/>
          <w:rFonts w:eastAsia="Arial" w:cs="Arial" w:ascii="Arial" w:hAnsi="Arial"/>
          <w:bCs/>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c), de executarea lucrărilor cu foc des</w:t>
      </w:r>
      <w:r>
        <w:rPr>
          <w:rFonts w:eastAsia="Arial" w:cs="Arial" w:ascii="Arial" w:hAnsi="Arial"/>
          <w:bCs/>
          <w:color w:val="auto"/>
          <w:spacing w:val="0"/>
          <w:w w:val="100"/>
          <w:sz w:val="20"/>
          <w:szCs w:val="20"/>
          <w:lang w:val="ro-RO"/>
        </w:rPr>
        <w:t>chis în cadrul</w:t>
      </w:r>
      <w:r>
        <w:rPr>
          <w:rFonts w:eastAsia="Arial" w:cs="Arial" w:ascii="Arial" w:hAnsi="Arial"/>
          <w:color w:val="auto"/>
          <w:spacing w:val="0"/>
          <w:w w:val="100"/>
          <w:sz w:val="20"/>
          <w:szCs w:val="20"/>
          <w:lang w:val="ro-RO"/>
        </w:rPr>
        <w:t xml:space="preserve"> {{client.legalN</w:t>
      </w:r>
      <w:r>
        <w:rPr>
          <w:rStyle w:val="PageNumber"/>
          <w:rFonts w:eastAsia="Arial" w:cs="Arial" w:ascii="Arial" w:hAnsi="Arial"/>
          <w:color w:val="auto"/>
          <w:spacing w:val="0"/>
          <w:w w:val="100"/>
          <w:sz w:val="20"/>
          <w:szCs w:val="20"/>
          <w:lang w:val="ro-RO"/>
        </w:rPr>
        <w:t>ame}} răspunde {</w:t>
      </w:r>
      <w:r>
        <w:rPr>
          <w:rFonts w:eastAsia="Arial" w:cs="Arial" w:ascii="Arial" w:hAnsi="Arial"/>
          <w:color w:val="auto"/>
          <w:spacing w:val="0"/>
          <w:w w:val="100"/>
          <w:sz w:val="20"/>
          <w:szCs w:val="20"/>
          <w:lang w:val="ro-RO"/>
        </w:rPr>
        <w:t>{fire.c</w:t>
      </w:r>
      <w:r>
        <w:rPr>
          <w:rStyle w:val="PageNumber"/>
          <w:rFonts w:eastAsia="Arial" w:cs="Arial" w:ascii="Arial" w:hAnsi="Arial"/>
          <w:bCs/>
          <w:color w:val="auto"/>
          <w:spacing w:val="0"/>
          <w:w w:val="100"/>
          <w:sz w:val="20"/>
          <w:szCs w:val="20"/>
          <w:lang w:val="ro-RO"/>
        </w:rPr>
        <w:t>o</w:t>
      </w:r>
      <w:r>
        <w:rPr>
          <w:rFonts w:eastAsia="Arial" w:cs="Arial" w:ascii="Arial" w:hAnsi="Arial"/>
          <w:color w:val="auto"/>
          <w:spacing w:val="0"/>
          <w:w w:val="100"/>
          <w:sz w:val="20"/>
          <w:szCs w:val="20"/>
          <w:lang w:val="ro-RO"/>
        </w:rPr>
        <w:t>ordinator.name}}, având funcția de {{fire.coordinator.jobTitleRunOn}} în cadrul</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Conform OMAI 163/2007 – art. 98 alin. (1) lit. d), lucrările cu foc deschis se vor executa numai după emiterea „Permisulu</w:t>
      </w:r>
      <w:r>
        <w:rPr>
          <w:rFonts w:eastAsia="Arial" w:cs="Arial" w:ascii="Arial" w:hAnsi="Arial"/>
          <w:bCs/>
          <w:color w:val="auto"/>
          <w:spacing w:val="0"/>
          <w:w w:val="100"/>
          <w:sz w:val="20"/>
          <w:szCs w:val="20"/>
          <w:lang w:val="ro-RO"/>
        </w:rPr>
        <w:t xml:space="preserve">i de lucru cu foc” (OMAI 163/2007, </w:t>
      </w:r>
      <w:r>
        <w:rPr>
          <w:rFonts w:eastAsia="Arial" w:cs="Arial" w:ascii="Arial" w:hAnsi="Arial"/>
          <w:color w:val="auto"/>
          <w:spacing w:val="0"/>
          <w:w w:val="100"/>
          <w:sz w:val="20"/>
          <w:szCs w:val="20"/>
          <w:lang w:val="ro-RO"/>
        </w:rPr>
        <w:t>anexa 4).</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executa numai după asigurarea măsurilor PSI specifice locului în care se efectuează lucrarea, sub supravegherea nemijlocită a șefului locului de muncă.</w:t>
      </w:r>
    </w:p>
    <w:p>
      <w:pPr>
        <w:pStyle w:val="BodyTextIndent"/>
        <w:widowControl/>
        <w:numPr>
          <w:ilvl w:val="0"/>
          <w:numId w:val="3"/>
        </w:numPr>
        <w:spacing w:before="120" w:after="6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Îndeplinirea condițiilor de siguranță prevăzute în Permisul de lucru cu foc va fi verificată de coordonatorul privind apărarea împotriva incendiilor sau de alte persoane din cadrul comisiei</w:t>
      </w:r>
      <w:r>
        <w:rPr>
          <w:rFonts w:eastAsia="Arial" w:cs="Arial" w:ascii="Arial" w:hAnsi="Arial"/>
          <w:bCs/>
          <w:color w:val="auto"/>
          <w:spacing w:val="0"/>
          <w:w w:val="100"/>
          <w:sz w:val="20"/>
          <w:szCs w:val="20"/>
          <w:lang w:val="ro-RO"/>
        </w:rPr>
        <w:t/>
      </w:r>
      <w:r>
        <w:rPr>
          <w:rFonts w:eastAsia="Arial" w:cs="Arial" w:ascii="Arial" w:hAnsi="Arial"/>
          <w:color w:val="auto"/>
          <w:spacing w:val="0"/>
          <w:w w:val="100"/>
          <w:sz w:val="20"/>
          <w:szCs w:val="20"/>
          <w:lang w:val="ro-RO"/>
        </w:rPr>
        <w:t xml:space="preserve"> de apărare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Permisul de lucru cu foc va fi emis de către coordonatorul privind apărarea împotriva incendiilor sau de alte persoane din cadrul comisiei de apărare împotriva incendiilor, care asigură și aducerea</w:t>
      </w:r>
      <w:r>
        <w:rPr>
          <w:rFonts w:eastAsia="Arial" w:cs="Arial" w:ascii="Arial" w:hAnsi="Arial"/>
          <w:bCs/>
          <w:color w:val="auto"/>
          <w:spacing w:val="0"/>
          <w:w w:val="100"/>
          <w:sz w:val="20"/>
          <w:szCs w:val="20"/>
          <w:lang w:val="ro-RO"/>
        </w:rPr>
        <w:t/>
      </w:r>
      <w:r>
        <w:rPr>
          <w:rFonts w:eastAsia="Arial" w:cs="Arial" w:ascii="Arial" w:hAnsi="Arial"/>
          <w:color w:val="auto"/>
          <w:spacing w:val="0"/>
          <w:w w:val="100"/>
          <w:sz w:val="20"/>
          <w:szCs w:val="20"/>
          <w:lang w:val="ro-RO"/>
        </w:rPr>
        <w:t xml:space="preserve"> la cunoștință a conținutului acestuia celor care efectuează lucrarea.</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întocmește în 2 exemplare, din care exemplarul nr. 1 (original) se va păstra la șeful echipei sau la lucrătorul care efectuează lucrarea, iar exemplarul nr. 2 (copie) la coordonatorul privind apărarea împotriva incendiilor.</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Permisul de lucru cu foc se eliberează zilnic, cu respectarea procedurilor specifice, chiar dacă focul deschis se folosește în executarea aceleiași lucrări pe o perioadă mai mare de timp.</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În spațiile cu risc ridicat de incendiu sau cu pericol de explozie, lucrările cu foc deschis se vor efectua numai după îndepărtarea materialelor inflamabile și verificarea cu aparatura adecvată a concentrației de vapori inflamabili, precum și a posibilităților de apariție accidentală a acestora în zona de lucru cu foc deschis.</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Locurile în care se execută lucrări cu foc deschis vor fi dotate cu mijloace inițiale de stingere a incendiilor, supravegherea efectuându-se cu personal instruit pentru o intervenție operativă, iar în cazul în care lucrările cu foc deschis se efectuează în spații cu risc mare de incendiu sau cu pericol de explozie, supravegherea va fi efectuată de serviciul de pompieri civili sau de echipaje ale pompierilor militari, cu care se vor încheia contracte de prestări servicii potrivit reglementărilor legale.</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Echipamentele și aparatele utilizate pentru executarea lucrărilor cu foc deschis trebuie să fie în bună stare de funcționare. De îndeplinirea acestor cerințe răspunde executantul.</w:t>
      </w:r>
    </w:p>
    <w:p>
      <w:pPr>
        <w:pStyle w:val="Normal"/>
        <w:keepNext/>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Pregătirea locului unde urmează să se execute operațiunea de sudare sau tăiere cu flacăra oxiacetilenică presupune:</w:t>
      </w:r>
    </w:p>
    <w:p>
      <w:pPr>
        <w:pStyle w:val="Normal"/>
        <w:widowControl/>
        <w:spacing w:before="0" w:after="40"/>
        <w:ind w:hanging="360" w:left="720"/>
        <w:jc w:val="left"/>
        <w:rPr>
          <w:rFonts w:ascii="Arial" w:hAnsi="Arial" w:cs="Arial"/>
          <w:sz w:val="20"/>
          <w:szCs w:val="20"/>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înconjurarea acestuia cu panouri necombustibile cu înălțimea de minimum 2 m și bine ancorate de podea;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protecția pardoselii din material combustibil cu un strat de nisip cu grosimea de 2 cm, cu tablă sau cu plăci din materiale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îndepărtarea materialelor și substanțelor combustibile transportabile la o distanță de cel puțin 10 m de locul sudării sau tăierii;</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curățarea pieselor vopsite pe o porțiune de cel puțin 100 mm de o parte și de alta în jurul punctului de lucru;</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umezirea cu apă sau protejarea cu panouri necombustibile a materialelor și elementelor de construcție combustibile fixe pentru a fi ferite de contactul cu scânteile sau stropii de sudură, cu flacăra sau cu alte particule de materiale incandescente;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înlăturarea posibilităților ca sursele de foc (scântei, particule incandescente etc.) să intre în contact cu materialele combustibile care se află în încăperile adiacente sau la cota inferioară, prin acoperirea sau obturarea golurilor ori orificiilor din pardoseală și pereți cu plăci sau dopuri necombustibile;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amplasarea la distanțe de siguranță a generatorului de acetilenă transportabil și a buteliei de oxigen, astfel: cel puțin 10 m între acestea și locul de sudură sau orice sursă cu foc deschis și, respectiv, cel puțin 5 m între 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dotarea cu mijloace de primă intervenție corespunzătoare;</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i)</w:t>
        <w:tab/>
      </w:r>
      <w:r>
        <w:rPr>
          <w:rFonts w:eastAsia="Arial" w:cs="Arial" w:ascii="Arial" w:hAnsi="Arial"/>
          <w:color w:val="auto"/>
          <w:spacing w:val="0"/>
          <w:w w:val="100"/>
          <w:sz w:val="20"/>
          <w:szCs w:val="20"/>
          <w:lang w:val="ro-RO"/>
        </w:rPr>
        <w:t>asigurarea prezenței persoanei desemnate să supravegheze executarea lucrărilor cu foc deschis.</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În timpul executării lucrării trebuie să se asigure: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supravegherea permanentă și cu atenție a flăcării, a dispersiei (răspândirii) și a traiectoriilor scânteilor sau particulelor de materiale incandescente și a intensității fluxului de căldură;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strângerea și depozitarea resturilor de electrozi în vase speciale cu nisip sau cu apă;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închiderea robinetelor buteliei de oxigen și a generatorului de acetilenă, dacă durata întreruperii executării lucrării depășește 10 minute;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interzicerea agățării arzătoarelor (chiar stinse) de buteliile de oxigen sau de generatoarele de acetilenă;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neefectuarea de deplasări cu arzătoarele aprinse în afara zonei de lucru sau de urcări pe scări, schele etc.;</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evacuarea carbidului din generator în cazul întreruperii lucrului pe o perioadă mai îndelungată.</w:t>
      </w:r>
    </w:p>
    <w:p>
      <w:pPr>
        <w:pStyle w:val="Normal"/>
        <w:keepNext/>
        <w:widowControl/>
        <w:numPr>
          <w:ilvl w:val="0"/>
          <w:numId w:val="3"/>
        </w:numPr>
        <w:spacing w:before="120" w:after="60"/>
        <w:ind w:hanging="0" w:left="0"/>
        <w:jc w:val="left"/>
        <w:rPr>
          <w:rFonts w:ascii="Arial" w:hAnsi="Arial" w:cs="Arial"/>
          <w:sz w:val="20"/>
          <w:szCs w:val="20"/>
          <w:lang w:val="fr-FR"/>
        </w:rPr>
      </w:pPr>
      <w:r>
        <w:rPr>
          <w:rFonts w:eastAsia="Arial" w:cs="Arial" w:ascii="Arial" w:hAnsi="Arial"/>
          <w:color w:val="auto"/>
          <w:spacing w:val="0"/>
          <w:w w:val="100"/>
          <w:sz w:val="20"/>
          <w:szCs w:val="20"/>
          <w:lang w:val="ro-RO"/>
        </w:rPr>
        <w:t>După terminarea lucrării trebuie să se asigure următoarele: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verificarea minuțioasă a locului în care s-a executat lucrarea, precum și a spațiilor adiacente și a celor situate la cotele inferioare sau superioare, pentru a constata dacă nu s-au creat focare de incendiu (zone incandescente, miros de ars sau degajări de fum etc.);</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descoperirea tuturor zonelor protejate, verificându-se dacă starea lor este intactă, și luarea de măsuri în consecință;</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verificarea, la anumite intervale, pe parcursul mai multor ore și în timpul nopții, a situației existente la locul în care s-a efectuat lucrarea și în imediata apropiere a acestuia;</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depozitarea în condiții de siguranță a echipamentelor folosite la lucrare;</w:t>
      </w:r>
    </w:p>
    <w:p>
      <w:pPr>
        <w:pStyle w:val="Normal"/>
        <w:widowControl/>
        <w:spacing w:before="0" w:after="4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reamplasarea pe pozițiile inițiale a elementelor și materialelor combustibile la cel puțin 6 ore de la terminarea lucrării;</w:t>
      </w:r>
    </w:p>
    <w:p>
      <w:pPr>
        <w:pStyle w:val="Normal"/>
        <w:widowControl/>
        <w:spacing w:before="0" w:after="120"/>
        <w:ind w:hanging="360" w:left="720"/>
        <w:jc w:val="left"/>
        <w:rPr>
          <w:rFonts w:ascii="Arial" w:hAnsi="Arial" w:cs="Arial"/>
          <w:sz w:val="20"/>
          <w:szCs w:val="20"/>
          <w:lang w:val="fr-FR"/>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colectarea nămolului (șlamului) de carbid în containere destinate acestui scop și depozitarea acestora într-un loc special amenajat.</w:t>
      </w:r>
    </w:p>
    <w:p>
      <w:pPr>
        <w:pStyle w:val="Normal"/>
        <w:widowControl/>
        <w:numPr>
          <w:ilvl w:val="0"/>
          <w:numId w:val="3"/>
        </w:numPr>
        <w:spacing w:before="120" w:after="60"/>
        <w:ind w:hanging="0" w:left="0"/>
        <w:jc w:val="left"/>
        <w:rPr>
          <w:rFonts w:ascii="Arial" w:hAnsi="Arial" w:cs="Arial"/>
          <w:sz w:val="20"/>
          <w:szCs w:val="20"/>
        </w:rPr>
      </w:pPr>
      <w:r>
        <w:rPr>
          <w:rFonts w:eastAsia="Arial" w:cs="Arial" w:ascii="Arial" w:hAnsi="Arial"/>
          <w:color w:val="auto"/>
          <w:spacing w:val="0"/>
          <w:w w:val="100"/>
          <w:sz w:val="20"/>
          <w:szCs w:val="20"/>
          <w:lang w:val="ro-RO"/>
        </w:rPr>
        <w:t>Lucrările cu foc deschis se vor efectua cu respectarea OMAI 163/2007 – art. 97–105.</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PROCES-VERBAL DE LUARE DE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{{client.legalName}} nr. {{fire.decisionNumbers.openFire}}</w:t>
      </w:r>
      <w:r>
        <w:rPr>
          <w:rStyle w:val="PageNumber"/>
          <w:rFonts w:eastAsia="Arial" w:cs="Arial" w:ascii="Arial" w:hAnsi="Arial"/>
          <w:color w:val="auto"/>
          <w:spacing w:val="0"/>
          <w:w w:val="100"/>
          <w:sz w:val="20"/>
          <w:szCs w:val="20"/>
          <w:lang w:val="ro-RO"/>
        </w:rPr>
        <w:t/>
      </w:r>
      <w:r>
        <w:rPr>
          <w:rStyle w:val="tpa1"/>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lang w:val="ro-RO"/>
        </w:rPr>
        <w:t xml:space="preserve">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ind w:hanging="0" w:left="0" w:right="0"/>
      <w:jc w:val="center"/>
      <w:rPr>
        <w:b/>
        <w:bCs/>
        <w:color w:val="7A7A7A"/>
        <w:sz w:val="15"/>
        <w:szCs w:val="15"/>
      </w:rPr>
    </w:pPr>
    <w:r>
      <w:rPr>
        <w:rFonts w:eastAsia="Arial" w:cs="Arial" w:ascii="Arial" w:hAnsi="Arial"/>
        <w:b w:val="false"/>
        <w:bCs/>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jc w:val="center"/>
      <w:outlineLvl w:val="0"/>
    </w:pPr>
    <w:rPr>
      <w:b/>
      <w:bCs/>
      <w:sz w:val="32"/>
      <w:u w:val="single"/>
    </w:rPr>
  </w:style>
  <w:style w:type="paragraph" w:styleId="Heading2">
    <w:name w:val="heading 2"/>
    <w:basedOn w:val="Normal"/>
    <w:next w:val="Normal"/>
    <w:pPr>
      <w:keepNext w:val="true"/>
      <w:numPr>
        <w:ilvl w:val="1"/>
        <w:numId w:val="1"/>
      </w:numPr>
      <w:jc w:val="center"/>
      <w:outlineLvl w:val="1"/>
    </w:pPr>
    <w:rPr>
      <w:b/>
      <w:bCs/>
      <w:sz w:val="36"/>
    </w:rPr>
  </w:style>
  <w:style w:type="paragraph" w:styleId="Heading3">
    <w:name w:val="heading 3"/>
    <w:basedOn w:val="Normal"/>
    <w:next w:val="Normal"/>
    <w:pPr>
      <w:keepNext w:val="true"/>
      <w:numPr>
        <w:ilvl w:val="2"/>
        <w:numId w:val="1"/>
      </w:numPr>
      <w:ind w:hanging="0" w:left="1140" w:right="0"/>
      <w:outlineLvl w:val="2"/>
    </w:pPr>
    <w:rPr>
      <w:b/>
      <w:bCs/>
    </w:rPr>
  </w:style>
  <w:style w:type="paragraph" w:styleId="Heading4">
    <w:name w:val="heading 4"/>
    <w:basedOn w:val="Normal"/>
    <w:next w:val="Normal"/>
    <w:pPr>
      <w:keepNext w:val="true"/>
      <w:numPr>
        <w:ilvl w:val="3"/>
        <w:numId w:val="1"/>
      </w:numPr>
      <w:ind w:firstLine="708" w:left="1416" w:right="0"/>
      <w:jc w:val="both"/>
      <w:outlineLvl w:val="3"/>
    </w:pPr>
    <w:rPr>
      <w:b/>
      <w:bCs/>
      <w:color w:val="000000"/>
      <w:sz w:val="28"/>
    </w:rPr>
  </w:style>
  <w:style w:type="paragraph" w:styleId="Heading5">
    <w:name w:val="heading 5"/>
    <w:basedOn w:val="Normal"/>
    <w:next w:val="Normal"/>
    <w:pPr>
      <w:keepNext w:val="true"/>
      <w:numPr>
        <w:ilvl w:val="4"/>
        <w:numId w:val="1"/>
      </w:numPr>
      <w:ind w:firstLine="708" w:left="2832" w:right="0"/>
      <w:jc w:val="both"/>
      <w:outlineLvl w:val="4"/>
    </w:pPr>
    <w:rPr>
      <w:b/>
      <w:bCs/>
      <w:color w:val="000000"/>
      <w:sz w:val="28"/>
    </w:rPr>
  </w:style>
  <w:style w:type="paragraph" w:styleId="Heading7">
    <w:name w:val="heading 7"/>
    <w:basedOn w:val="Normal"/>
    <w:next w:val="Normal"/>
    <w:pPr>
      <w:keepNext w:val="true"/>
      <w:numPr>
        <w:ilvl w:val="6"/>
        <w:numId w:val="1"/>
      </w:numPr>
      <w:jc w:val="center"/>
      <w:outlineLvl w:val="6"/>
    </w:pPr>
    <w:rPr>
      <w:sz w:val="28"/>
      <w:lang w:val="en-US"/>
    </w:rPr>
  </w:style>
  <w:style w:type="character" w:styleId="WW8Num1z2">
    <w:name w:val="WW8Num1z2"/>
    <w:rPr>
      <w:rFonts w:ascii="Symbol" w:hAnsi="Symbol" w:cs="Symbol"/>
    </w:rPr>
  </w:style>
  <w:style w:type="character" w:styleId="WW8Num3z0">
    <w:name w:val="WW8Num3z0"/>
    <w:rPr>
      <w:rFonts w:ascii="Wingdings" w:hAnsi="Wingdings" w:cs="Wingdings"/>
    </w:rPr>
  </w:style>
  <w:style w:type="character" w:styleId="WW8Num4z0">
    <w:name w:val="WW8Num4z0"/>
    <w:rPr>
      <w:b/>
    </w:rPr>
  </w:style>
  <w:style w:type="character" w:styleId="WW8Num5z0">
    <w:name w:val="WW8Num5z0"/>
    <w:rPr>
      <w:rFonts w:ascii="Wingdings" w:hAnsi="Wingdings" w:cs="Wingdings"/>
    </w:rPr>
  </w:style>
  <w:style w:type="character" w:styleId="WW8Num7z0">
    <w:name w:val="WW8Num7z0"/>
    <w:rPr>
      <w:b/>
    </w:rPr>
  </w:style>
  <w:style w:type="character" w:styleId="DefaultParagraphFont">
    <w:name w:val="Default Paragraph Font"/>
    <w:rPr/>
  </w:style>
  <w:style w:type="character" w:styleId="PageNumber">
    <w:name w:val="page number"/>
    <w:basedOn w:val="DefaultParagraphFont"/>
    <w:rPr/>
  </w:style>
  <w:style w:type="character" w:styleId="do1">
    <w:name w:val="do1"/>
    <w:rPr>
      <w:b/>
      <w:bCs/>
      <w:sz w:val="26"/>
      <w:szCs w:val="26"/>
    </w:rPr>
  </w:style>
  <w:style w:type="character" w:styleId="tal1">
    <w:name w:val="tal1"/>
    <w:basedOn w:val="DefaultParagraphFont"/>
    <w:rPr/>
  </w:style>
  <w:style w:type="character" w:styleId="tpa1">
    <w:name w:val="tpa1"/>
    <w:basedOn w:val="DefaultParagraphFont"/>
    <w:rPr/>
  </w:style>
  <w:style w:type="character" w:styleId="ar1">
    <w:name w:val="ar1"/>
    <w:rPr>
      <w:b/>
      <w:bCs/>
      <w:sz w:val="22"/>
      <w:szCs w:val="22"/>
    </w:rPr>
  </w:style>
  <w:style w:type="character" w:styleId="li1">
    <w:name w:val="li1"/>
    <w:rPr>
      <w:b/>
      <w:bCs/>
    </w:rPr>
  </w:style>
  <w:style w:type="character" w:styleId="tli1">
    <w:name w:val="tli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style>
  <w:style w:type="paragraph" w:styleId="Footer">
    <w:name w:val="footer"/>
    <w:basedOn w:val="Normal"/>
    <w:pPr>
      <w:tabs>
        <w:tab w:val="clear" w:pos="708"/>
        <w:tab w:val="center" w:pos="4320" w:leader="none"/>
        <w:tab w:val="right" w:pos="8640" w:leader="none"/>
      </w:tabs>
    </w:pPr>
    <w:rPr/>
  </w:style>
  <w:style w:type="paragraph" w:styleId="BodyTextIndent">
    <w:name w:val="Body Text Indent"/>
    <w:basedOn w:val="Normal"/>
    <w:pPr>
      <w:ind w:firstLine="708" w:left="0" w:right="0"/>
      <w:jc w:val="both"/>
    </w:pPr>
    <w:rPr>
      <w:sz w:val="28"/>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LibreOffice/26.8.0.3$Linux_AARCH64 LibreOffice_project/680$Build-3</Application>
  <AppVersion>15.0000</AppVersion>
  <Pages>2</Pages>
  <Words>1113</Words>
  <Characters>6701</Characters>
  <CharactersWithSpaces>7741</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2024-03-04T10:09:00Z</dcterms:created>
  <dc:creator/>
  <dc:description/>
  <dc:language>ro-RO</dc:language>
  <cp:lastModifiedBy/>
  <cp:lastPrinted>2024-01-26T17:49:00Z</cp:lastPrinted>
  <dcterms:modified xsi:type="dcterms:W3CDTF">2026-10-10T01:57:51Z</dcterms:modified>
  <cp:revision>6</cp:revision>
  <dc:subject/>
  <dc:title/>
</cp:coreProperties>
</file>