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LISTA CU SITUAȚIA MIJLOACELOR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1. Dotarea {{client.legalName}} cu mijloace de primă intervenție pentru stingerea incendiilor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{{name}} ({{activityRunOn}})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205"/>
        <w:gridCol w:w="2040"/>
        <w:gridCol w:w="2042"/>
      </w:tblGrid>
      <w:tr>
        <w:trPr/>
        <w:tc>
          <w:tcPr>
            <w:tcW w:w="10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Aria utilă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{{floorAreaM2}} m²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Norma de dotare (OMAI 163/2007, anexa 6)</w:t>
            </w:r>
          </w:p>
        </w:tc>
        <w:tc>
          <w:tcPr>
            <w:tcW w:w="408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{{normLabel}}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Mijloc de primă intervenție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U/M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Cantitate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{{#extinguishers}}Stingător {{code}} – {{agentLabel}}, {{capacityLabel}}{{#wheeled}}, carosabil{{/wheeled}}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{{count}}{{/extinguishers}}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{{#otherEquipment}}{{kindLabel}}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{{count}}{{/otherEquipment}}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Total stingătoare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{{extinguisherCount}}</w:t>
            </w:r>
          </w:p>
        </w:tc>
      </w:tr>
    </w:tbl>
    <w:p>
      <w:pPr>
        <w:pStyle w:val="Normal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NUMĂR ORIENTATIV DE STINGĂTOARE PORTATIVE PENTRU UNELE CATEGORII DE CONSTRUCȚII (OMAI 163/2007, anexa 6)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565"/>
        <w:gridCol w:w="2722"/>
      </w:tblGrid>
      <w:tr>
        <w:trPr>
          <w:tblHeader w:val="true"/>
        </w:trPr>
        <w:tc>
          <w:tcPr>
            <w:tcW w:w="1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Categorii de construcții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Număr minim de stingătoare*)/suprafață desfășurată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Clădiri administrative: sedii ale administrației publice centrale și locale; sedii de fundații, organizații neguvernamentale, asociații, agenții și altele asemenea; sedii de birouri.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Clădiri comerciale: comerț alimentar și nealimentar; magazine generale; alimentație publică (restaurante, braserii și altele asemenea); spații și încăperi destinate serviciilor.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buc./200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Clădiri de locuit (cu caracter de recomandare): blocuri; locuințe unifamiliale.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buc./nivel/apartament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Clădiri civile cu funcțiuni mixte (comerț, birouri, reuniuni).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Alte amenajări: circuri mobile; scene și tribune amenajate provizoriu în aer liber (pentru spectacole, mitinguri, competiții sportive etc.); studiouri de radio, televiziune, îndeosebi cu public.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buc./150 m²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*) Performanța de stingere echivalentă cu focarele 21 A și 113 B, conform standardului european de referință.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{{#fire.hasExteriorHydrants}}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2. Lista dotării cu accesorii pentru trecerea apei a hidranților exteriori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5"/>
        <w:gridCol w:w="3732"/>
        <w:gridCol w:w="747"/>
        <w:gridCol w:w="1066"/>
        <w:gridCol w:w="1066"/>
        <w:gridCol w:w="1067"/>
        <w:gridCol w:w="1066"/>
        <w:gridCol w:w="1066"/>
        <w:gridCol w:w="1065"/>
        <w:gridCol w:w="1068"/>
        <w:gridCol w:w="1599"/>
      </w:tblGrid>
      <w:tr>
        <w:trPr/>
        <w:tc>
          <w:tcPr>
            <w:tcW w:w="7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37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Denumirea accesoriului</w:t>
            </w:r>
          </w:p>
        </w:tc>
        <w:tc>
          <w:tcPr>
            <w:tcW w:w="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U/M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Norma pentru un hidrant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Număr de hidranți</w:t>
            </w:r>
          </w:p>
        </w:tc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dotări hidranți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Rezerva conform normelor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de aprovizionat</w:t>
            </w:r>
          </w:p>
        </w:tc>
        <w:tc>
          <w:tcPr>
            <w:tcW w:w="2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 păstrează la: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/>
        <w:tc>
          <w:tcPr>
            <w:tcW w:w="7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7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Hidranți</w:t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Remiza PSI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racord tip „A, B, C”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Feșe pentru furtun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Țevi de refulare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Hidrant portativ tip „A” sau „B” cu 2 robinete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pentru hidrant și mufe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Racorduri pentru furtun tip „B” cu garnituri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Furtun de refulare cauciucat tip „B”, în role de 20 m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40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12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{{/fire.hasExteriorHydrants}}</w:t>
      </w:r>
    </w:p>
    <w:p>
      <w:pPr>
        <w:pStyle w:val="Normal"/>
        <w:widowControl/>
        <w:bidi w:val="0"/>
        <w:spacing w:before="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Cadru tehnic PSI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cunoștință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7285"/>
        <w:tab w:val="clear" w:pos="14570"/>
        <w:tab w:val="center" w:pos="7143" w:leader="none"/>
        <w:tab w:val="right" w:pos="14287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735</Words>
  <Characters>5879</Characters>
  <CharactersWithSpaces>6368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2026-10-10T18:48:55Z</dcterms:modified>
  <cp:revision>1</cp:revision>
  <dc:subject/>
  <dc:title/>
</cp:coreProperties>
</file>