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Tematica de instruire și programul de instruire – testare la nivelul unității în domeniul securității și sănătății în muncă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a cunoștințelor în urma instruirii introductiv-generale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periodică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Document justificativ de control privind verificarea tematică la locurile de muncă, informarea asupra deficiențelor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al respectării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sau îmbolnăvire profesională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(Preluare din Legea 319/2006 – Art. 6 alin. (1), (2), (3))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20"/>
          <w:szCs w:val="20"/>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20"/>
          <w:szCs w:val="20"/>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20"/>
          <w:szCs w:val="20"/>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Fără a aduce atingere altor prevederi ale prezentei legi,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20"/>
          <w:szCs w:val="20"/>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20"/>
          <w:szCs w:val="20"/>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20"/>
          <w:szCs w:val="20"/>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20"/>
          <w:szCs w:val="20"/>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11)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accidentelor de muncă ce au ca urmare o incapacitate de muncă mai mare de 3 zile de lucru, a accidentelor ușoare, a bolilor profesionale, a incidentelor periculoase, precum și a accidentelor de muncă, astfel cum sunt definite la art. 5 lit. g) din Legea 319/2006</w:t>
      </w:r>
      <w:r>
        <w:rPr>
          <w:rFonts w:eastAsia="Arial" w:cs="Arial" w:ascii="Arial" w:hAnsi="Arial"/>
          <w:color w:val="auto"/>
          <w:spacing w:val="0"/>
          <w:w w:val="100"/>
          <w:sz w:val="20"/>
          <w:szCs w:val="20"/>
          <w:lang w:val="ro-RO"/>
        </w:rPr>
        <w:t xml:space="preserve">;</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971/2006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1146/2006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1048/2006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1048/2006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319/2006</w:t>
      </w:r>
      <w:r>
        <w:rPr>
          <w:rStyle w:val="tpt1"/>
          <w:rFonts w:eastAsia="Arial" w:cs="Arial" w:ascii="Arial" w:hAnsi="Arial"/>
          <w:color w:val="auto"/>
          <w:spacing w:val="0"/>
          <w:w w:val="100"/>
          <w:sz w:val="20"/>
          <w:szCs w:val="20"/>
          <w:lang w:val="ro-RO"/>
        </w:rPr>
        <w:t xml:space="preserv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 xml:space="preserve">1058/2006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alte activități necesare/ 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22) </w:t>
      </w:r>
      <w:r>
        <w:rPr>
          <w:rFonts w:eastAsia="Arial" w:cs="Arial" w:ascii="Arial" w:hAnsi="Arial"/>
          <w:color w:val="auto"/>
          <w:spacing w:val="0"/>
          <w:w w:val="100"/>
          <w:sz w:val="20"/>
          <w:szCs w:val="20"/>
          <w:lang w:val="ro-RO"/>
        </w:rPr>
        <w:t xml:space="preserve">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În mod deosebit, în scopul realizării obiectivelor prevăzute la art. 22 din Legea 319/2006,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Obligațiile prevăzute la art. 23 alin. (1) din Legea 319/2006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(Preluare din H.G. 1425/2006 – Art. 14) </w:t>
      </w:r>
      <w:r>
        <w:rPr>
          <w:rStyle w:val="tpa1"/>
          <w:rFonts w:eastAsia="Arial" w:cs="Arial" w:ascii="Arial" w:hAnsi="Arial"/>
          <w:b/>
          <w:color w:val="auto"/>
          <w:spacing w:val="0"/>
          <w:w w:val="100"/>
          <w:sz w:val="20"/>
          <w:szCs w:val="20"/>
          <w:lang w:val="ro-RO"/>
        </w:rPr>
        <w:t xml:space="preserve">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(Preluare din Legea 319/2006 – Art. 9)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activitățile desfășurate în cadrul întreprinderii nu sunt dintre cele prevăzute în anexa nr. 5 din H.G. 1425/2006;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își desfășoară activitatea profesională în mod efectiv și cu regularitate în întreprindere și/ 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situația în care nu sunt îndeplinite condițiile prevăzute la alin. (1) de mai sus, angajatorul trebuie să desemneze unul sau mai mulți lucrători ori poate organiza serviciul intern de prevenire și protecție și/ 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angajatorul/ lucrătorii desemnați/ serviciile interne de prevenire și protecție nu au capacitățile și aptitudinile necesare pentru efectuarea tuturor activităților de prevenire și protecție prevăzute la art. 15 din H.G. 1425/2006,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 xml:space="preserve">(1)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 xml:space="preserve">(1) lit. a)–c) din H.G. 1425/2006;</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situația în care nu sunt îndeplinite condițiile prevăzute la alin. (1), angajatorul trebuie să desemneze unul sau mai mulți lucrători ori poate organiza unul sau mai multe servicii interne de prevenire și protecție și/ 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 care angajatorul/ lucrătorii desemnați/ serviciile interne de prevenire și protecție nu au capacitățile și aptitudinile necesare pentru efectuarea tuturor activităților de prevenire și protecție prevăzute la art. 15 din H.G. 1425/2006,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În cazul întreprinderilor și/ 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 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 xml:space="preserve">din H.G. 1425/2006</w:t>
      </w:r>
      <w:r>
        <w:rPr>
          <w:rStyle w:val="tal1"/>
          <w:rFonts w:eastAsia="Arial" w:cs="Arial" w:ascii="Arial" w:hAnsi="Arial"/>
          <w:bCs/>
          <w:color w:val="auto"/>
          <w:spacing w:val="0"/>
          <w:w w:val="100"/>
          <w:sz w:val="20"/>
          <w:szCs w:val="20"/>
          <w:lang w:val="ro-RO"/>
        </w:rPr>
        <w:t xml:space="preserve">,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lucrătorii desemnați, serviciile interne de prevenire și protecție nu au capacitățile și aptitudinile necesare pentru efectuarea tuturor activităților de prevenire și protecție prevăzute la art. 15 din H.G. 1425/2006,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 care serviciile interne de prevenire și protecție nu au capacitățile și aptitudinile necesare pentru efectuarea tuturor activităților de prevenire și protecție prevăzute la art. 15 din H.G. 1425/2006,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 xml:space="preserve">Pentru a putea să desfășoare activitățile de prevenire și protecție, lucrătorul desemnat trebuie să îndeplinească cel puțin cerințele minime de pregătire în domeniul securității și sănătății în muncă, potrivit prevederilor art. 49 din H.G. 1425/2006.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 xml:space="preserve">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 xml:space="preserve">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 xml:space="preserve">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 xml:space="preserve">(1)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modul de colaborare cu lucrătorii desemnați/ serviciile interne și/ 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un reprezentant, în cazul întreprinderilor și/ 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2 reprezentanți, în cazul întreprinderilor și/ 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 xml:space="preserve">H.G. 1425/2006</w:t>
      </w:r>
      <w:r>
        <w:rPr>
          <w:rStyle w:val="tli1"/>
          <w:rFonts w:eastAsia="Arial" w:cs="Arial" w:ascii="Arial" w:hAnsi="Arial"/>
          <w:bCs/>
          <w:color w:val="auto"/>
          <w:spacing w:val="0"/>
          <w:w w:val="100"/>
          <w:sz w:val="20"/>
          <w:szCs w:val="20"/>
          <w:lang w:val="ro-RO"/>
        </w:rPr>
        <w:t xml:space="preserve">,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 xml:space="preserve">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1425/2006</w:t>
      </w:r>
      <w:r>
        <w:rPr>
          <w:rStyle w:val="tal1"/>
          <w:rFonts w:eastAsia="Arial" w:cs="Arial" w:ascii="Arial" w:hAnsi="Arial"/>
          <w:bCs/>
          <w:color w:val="auto"/>
          <w:spacing w:val="0"/>
          <w:w w:val="100"/>
          <w:sz w:val="20"/>
          <w:szCs w:val="20"/>
          <w:lang w:val="ro-RO"/>
        </w:rPr>
        <w:t xml:space="preserve">.</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319/2006 – Art. 7 alin. (1), lit. c), Art. 13 lit. e), H.G. 1425/2006 –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319/2006 – Art. 20 alin. (1), (2) și (4)) (1)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Instruirea prevăzută la alin. (1) trebuie să fie:</w:t>
      </w:r>
    </w:p>
    <w:p>
      <w:pPr>
        <w:pStyle w:val="Normal"/>
        <w:widowControl/>
        <w:numPr>
          <w:ilvl w:val="0"/>
          <w:numId w:val="42"/>
        </w:numPr>
        <w:spacing w:before="0" w:after="40"/>
        <w:jc w:val="left"/>
        <w:rPr>
          <w:rFonts w:ascii="Arial" w:hAnsi="Arial" w:cs="Arial"/>
          <w:sz w:val="20"/>
          <w:szCs w:val="20"/>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20"/>
          <w:szCs w:val="20"/>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Reprezentanții lucrătorilor cu răspunderi specifice în domeniul securității și sănătății în muncă au dreptul la instruire corespunzătoare.</w:t>
      </w:r>
    </w:p>
    <w:p>
      <w:pPr>
        <w:pStyle w:val="Heading1"/>
        <w:widowControl/>
        <w:numPr>
          <w:ilvl w:val="0"/>
          <w:numId w:val="9"/>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319/2006 – Art. 21) (1) Instruirea prevăzută la art. 20 alin. (1), (2) și (4) din Legea 319/2006 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Instruirea prevăzută la art. 20 alin. (1) și (2) din Legea 319/2006 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Instruirea prevăzută la art. 20 alin. (4) din Legea 319/2006 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din Legea 319/2006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 xml:space="preserve">(Preluare din H.G. 1425/2006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 xml:space="preserve">(Preluare din H.G. 1425/2006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 xml:space="preserve">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bCs/>
          <w:color w:val="auto"/>
          <w:spacing w:val="0"/>
          <w:w w:val="100"/>
          <w:sz w:val="20"/>
          <w:szCs w:val="20"/>
          <w:lang w:val="ro-RO"/>
        </w:rPr>
        <w:t xml:space="preserve">(1)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 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 xml:space="preserve">(Conform prevederilor H.G. 1425/2006 – Art. 85)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 xml:space="preserve">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 xml:space="preserve">(Preluare din H.G. 1425/2006 – Art. 86)</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D</w:t>
      </w:r>
      <w:r>
        <w:rPr>
          <w:rFonts w:eastAsia="Arial" w:cs="Arial" w:ascii="Arial" w:hAnsi="Arial"/>
          <w:b w:val="false"/>
          <w:color w:val="auto"/>
          <w:spacing w:val="0"/>
          <w:w w:val="100"/>
          <w:sz w:val="20"/>
          <w:szCs w:val="20"/>
          <w:lang w:val="ro-RO"/>
        </w:rPr>
        <w:t xml:space="preserve">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Persoanelor prevăzute la art. 82 li se vor prezenta succint activitățile, riscurile și măsurile de prevenire și protecție din întreprindere și/ 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 xml:space="preserve">(1)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1425/2006 – Art. 92 – conf. H.G. 767/2016 –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 xml:space="preserve">Durata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 xml:space="preserve">(Preluare din H.G. 1425/2006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 xml:space="preserve">(1)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Instruirea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 xml:space="preserve">(Preluare din H.G. 767/2016 –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 xml:space="preserve">ntervalul dintre două instruiri periodice și periodicitatea verificării instruirii vor fi stabilite prin programul de instruire-testare elaborat la nivelul întreprinderii și/ sau unității potrivit prevederilor art. 15 alin. (1) pct. 8 din H.G. 1425/2006, în funcție de condițiile locului de muncă și/ 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98)</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1425/2006 – Art. 99 – conf. H.G. 767/2016 – pct. 6)</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 xml:space="preserve">Durata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ascii="Arial" w:hAnsi="Arial" w:cs="Arial" w:eastAsia="Arial"/>
          <w:color w:val="auto"/>
          <w:sz w:val="20"/>
          <w:szCs w:val="20"/>
          <w:lang w:val="ro-RO"/>
        </w:rPr>
        <w:t xml:space="preserve">(Preluare din H.G. 1425/2006 – Art. 100) Instruirea periodică prevăzută la art. 98 din H.G. 1425/2006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 </w:t>
      </w:r>
      <w:r>
        <w:rPr>
          <w:rStyle w:val="tpt1"/>
          <w:rFonts w:eastAsia="Arial" w:cs="Arial" w:ascii="Arial" w:hAnsi="Arial"/>
          <w:b/>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 xml:space="preserve">(1)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1425/2006 –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 xml:space="preserve">(Preluare din Legea 319/2006 – Art. 12 alin. (1) lit.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să țină evidența accidentelor de muncă ce au ca urmare o incapacitate de muncă mai mare de 3 zile de lucru, a accidentelor ușoare, a bolilor profesionale, a incidentelor periculoase, precum și a accidentelor de muncă, astfel cum sunt definite la art. 5 lit. g) din Legea 319/2006;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319/2006 – Art. 5 lit. h)) În sensul Legii 319/2006,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inspectoratelor teritoriale de muncă, toate evenimentele așa cum sunt definite la art. 5 lit. f) din Legea 319/2006;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346/2002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Semnalarea prevăzută la art. 27 alin. (2) din Legea 319/2006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sensul prevederilor art. 5 lit. g) din Legea 319/2006,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 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afla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situațiile menționate la art. 30 alin. (1) lit. g), h), i) și l) din Legea 319/2006,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319/2006 – Art. 33) </w:t>
      </w:r>
      <w:r>
        <w:rPr>
          <w:rFonts w:eastAsia="Arial" w:cs="Arial" w:ascii="Arial" w:hAnsi="Arial"/>
          <w:b w:val="false"/>
          <w:color w:val="auto"/>
          <w:spacing w:val="0"/>
          <w:w w:val="100"/>
          <w:sz w:val="20"/>
          <w:szCs w:val="20"/>
          <w:lang w:val="ro-RO"/>
        </w:rPr>
        <w:t xml:space="preserve">În sensul prevederilor art. 5 lit. h) din Legea 319/2006,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 xml:space="preserve">(Preluare din Legea 319/2006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(Preluare din H.G. 1425/2006 – Art. 15 alin. (3)) </w:t>
      </w:r>
      <w:r>
        <w:rPr>
          <w:rStyle w:val="tal1"/>
          <w:rFonts w:eastAsia="Arial" w:cs="Arial" w:ascii="Arial" w:hAnsi="Arial"/>
          <w:b/>
          <w:bCs/>
          <w:color w:val="auto"/>
          <w:spacing w:val="0"/>
          <w:w w:val="100"/>
          <w:sz w:val="20"/>
          <w:szCs w:val="20"/>
          <w:lang w:val="ro-RO"/>
        </w:rPr>
        <w:t xml:space="preserve">Evaluarea riscurilor cu privire la securitatea și sănătatea în muncă la nivelul întreprinderii și/ 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ori de câte ori intervin schimbări sau modificări în ceea ce privește tehnologia, echipamentele de muncă, substanțele ori preparatele chimice utilizate și amenajarea locurilor de muncă/ 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 xml:space="preserve">conform prevederilor H.G. 1425/2006 –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Legea 319/2006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1425/2006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Normele metodologice de aplicare a prevederilor Legii 319/2006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557/2007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355/2007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1876/2005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300/2006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493/2006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971/2006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Cerințele minime pentru semnalizarea de securitate și/ 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1028/2006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1048/2006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1049/2006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pentru asigurarea securității și sănătății lucrătorilor din industria extractivă de suprafață sau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1051/2006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1058/2006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pentru îmbunătățirea securității și protecția sănătății lucrătorilor care pot fi expuși unui potențial risc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1091/2006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1092/2006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1093/2006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de securitate și sănătate pentru protecția lucrătorilor împotriva riscurilor legate de expunerea la locul de muncă la agenți cancerigeni sau mutageni ori la substanțe toxice pentru reproducere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H.G. 520/2016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de securitate și sănătate referitoare la expunerea lucrătorilor la riscuri generate de câmpuri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1146/2006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1218/2006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ascii="Arial" w:hAnsi="Arial" w:cs="Arial" w:eastAsia="Arial"/>
                <w:color w:val="auto"/>
                <w:sz w:val="20"/>
                <w:szCs w:val="20"/>
                <w:lang w:val="ro-RO"/>
              </w:rPr>
              <w:t xml:space="preserve">Cerințele minime de securitate și sănătate în muncă pentru asigurarea protecției lucrătorilor împotriva riscurilor legate de prezența agenților chimici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600/2007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H.G. 1875/2005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Denumirea documentului</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privind modul de utilizare, depozitarea, întreținerea și mentenanța, specificațiile tehnice, principiile de funcționare și sistemele de control și securitate, obligațiile și atenționările specifice, pentru fiecare echipament de muncă din dotarea unității, astfel încât acesta să fie folosit eficient și fără accidente.</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Material de instruire în domeniul securității și sănătății în muncă pentru instruirea introductiv-generală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Evaluarea riscurilor de accidentare și/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a nu expune la pericol de accidentare sau îmbolnăvire profesională atât propria persoană, cât și alte persoane care pot fi afectate de acțiunile sau omisiunile lor în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participe la instruirile de la angajare în domeniul securității și sănătății în muncă (instruirea introductiv-generală, instruirea la locul de muncă);</w:t>
      </w:r>
    </w:p>
    <w:p>
      <w:pPr>
        <w:pStyle w:val="Normal"/>
        <w:widowControl/>
        <w:numPr>
          <w:ilvl w:val="0"/>
          <w:numId w:val="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ascii="Arial" w:hAnsi="Arial" w:cs="Arial" w:eastAsia="Arial"/>
          <w:color w:val="auto"/>
          <w:sz w:val="20"/>
          <w:szCs w:val="20"/>
          <w:lang w:val="ro-RO"/>
        </w:rPr>
        <w:t xml:space="preserve">Fiecare lucrător se va prezenta la cabinetul de medicina muncii pentru efectuarea, la termenele stabilite de medicul de medicina muncii al unității, a controlului medical periodic sau, după caz, a controlului psihologic periodic, datele medicale obținute fiind evidențiate în « FIȘA DE APTITUDINE » și soluționate prin parafa medicului de medicina muncii în « FIȘA DE INSTRUIRE ÎN DOMENIUL SECURITĂȚII ȘI SĂNĂTĂȚII ÎN MUNCĂ »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ascii="Arial" w:hAnsi="Arial" w:cs="Arial" w:eastAsia="Arial"/>
          <w:color w:val="auto"/>
          <w:sz w:val="20"/>
          <w:szCs w:val="20"/>
          <w:lang w:val="ro-RO"/>
        </w:rPr>
        <w:t xml:space="preserve">Persoana care observă un incendiu are obligația să anunțe prin orice mijloc serviciile de urgență, primarul sau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Fiecare lucrător/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pentru realizarea instruirii în domeniul situațiilor de urgență,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319/2006 și H.G. 1425/2006),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ascii="Arial" w:hAnsi="Arial" w:cs="Arial" w:eastAsia="Arial"/>
          <w:color w:val="auto"/>
          <w:sz w:val="20"/>
          <w:szCs w:val="20"/>
          <w:lang w:val="ro-RO"/>
        </w:rPr>
        <w:t xml:space="preserve">(Preluare din H.G. 1425/2006 – Art. 56) Reprezentanții lucrătorilor cu răspunderi specifice în domeniul securității și sănătății în muncă sunt consultați și participă, în conformitate cu art. 18 din Legea 319/2006, și pot desfășura următoarele activități:</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 xml:space="preserve">însoțesc echipa/ 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1425/2006 –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 xml:space="preserve">:</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971/2006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1146/2006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1048/2006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 xml:space="preserve">1048/2006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319/2006</w:t>
      </w:r>
      <w:r>
        <w:rPr>
          <w:rStyle w:val="tpt1"/>
          <w:rFonts w:eastAsia="Arial" w:cs="Arial" w:ascii="Arial" w:hAnsi="Arial"/>
          <w:color w:val="auto"/>
          <w:spacing w:val="0"/>
          <w:w w:val="100"/>
          <w:sz w:val="20"/>
          <w:szCs w:val="20"/>
          <w:lang w:val="ro-RO"/>
        </w:rPr>
        <w:t xml:space="preserve">;</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 xml:space="preserve">1058/2006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punctul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20"/>
          <w:szCs w:val="20"/>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20"/>
          <w:szCs w:val="20"/>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20"/>
          <w:szCs w:val="20"/>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20"/>
          <w:szCs w:val="20"/>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Cs/>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Astfel, angajatorul va trebui:</w:t>
      </w:r>
    </w:p>
    <w:p>
      <w:pPr>
        <w:pStyle w:val="Normal"/>
        <w:widowControl/>
        <w:numPr>
          <w:ilvl w:val="0"/>
          <w:numId w:val="10"/>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 De asemenea, angajatorul va trebui:</w:t>
      </w:r>
    </w:p>
    <w:p>
      <w:pPr>
        <w:pStyle w:val="Normal"/>
        <w:widowControl/>
        <w:numPr>
          <w:ilvl w:val="0"/>
          <w:numId w:val="4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se asigure că sunt consultați angajații și/ 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în funcție de posibilități, aer condiționat sau ventilație. În perioadele cu temperaturi ridicate extreme (peste +37 °C), angajatorul va asigura apă minerală adecvată, câte 2 – 4 litri/ persoană/ schimb, iar în perioadele cu temperaturi scăzute extreme (sub -20 °C), salariaților care lucrează în aer liber, ceai fierbinte în cantitate de 0,5 – 1 litru/ persoană/ schimb (O.U.G. 99/2000 – art. 4 și 5)</w:t>
      </w:r>
      <w:r>
        <w:rPr>
          <w:rFonts w:eastAsia="Arial" w:cs="Arial" w:ascii="Arial" w:hAnsi="Arial"/>
          <w:bCs/>
          <w:color w:val="auto"/>
          <w:spacing w:val="0"/>
          <w:w w:val="100"/>
          <w:sz w:val="20"/>
          <w:szCs w:val="20"/>
          <w:lang w:val="ro-RO"/>
        </w:rPr>
        <w:t xml:space="preserve">;</w:t>
      </w:r>
    </w:p>
    <w:p>
      <w:pPr>
        <w:pStyle w:val="Normal"/>
        <w:widowControl/>
        <w:numPr>
          <w:ilvl w:val="0"/>
          <w:numId w:val="40"/>
        </w:numPr>
        <w:spacing w:before="0" w:after="40"/>
        <w:ind w:hanging="360" w:left="1080"/>
        <w:jc w:val="left"/>
        <w:rPr>
          <w:rFonts w:ascii="Arial" w:hAnsi="Arial" w:cs="Arial"/>
          <w:sz w:val="20"/>
          <w:szCs w:val="20"/>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asigure securitatea și sănătatea în muncă a salariatelor gravide și/ sau mame, lăuze sau care alăptează, conform O.U.G. 96/2003 privind protecția maternității la locurile de muncă.</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20"/>
          <w:szCs w:val="20"/>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vederea respectării cerințelor privind asigurarea serviciului medical de medicină a muncii, lucrătorii care lucrează în cadrul unității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 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viața și sănătatea celorlalți angajați la același loc de muncă;</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efectuează de către persoane cu pregătire în domeniul securității și sănătății în muncă (lucrătorul desemnat, serviciul intern sau serviciul extern de prevenire și protecție); instruirea la locul de muncă și instruirea periodică se efectuează de către conducătorul locului de muncă sau de către serviciul extern de prevenire și protecție, potrivit deciziei de instruire.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unitatea fie prin angajare, fie prin detașare de la altă societate, la intrarea în unitate.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Durata instruirii introductiv-generale este stabilită prin decizia privind instruirea și prin planificarea internă; în cadrul acestei instruiri se prezintă:</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instrucțiunile proprii la nivelul unității;</w:t>
      </w:r>
    </w:p>
    <w:p>
      <w:pPr>
        <w:pStyle w:val="Normal"/>
        <w:widowControl/>
        <w:numPr>
          <w:ilvl w:val="0"/>
          <w:numId w:val="45"/>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ascii="Arial" w:hAnsi="Arial" w:cs="Arial" w:eastAsia="Arial"/>
          <w:color w:val="auto"/>
          <w:sz w:val="20"/>
          <w:szCs w:val="20"/>
          <w:lang w:val="ro-RO"/>
        </w:rPr>
        <w:t xml:space="preserve">Instruirea periodică durează {{training.periodicDuration}} și are periodicitatea stabilită prin programul de instruire-testare și prin instrucțiunile proprii ale unității.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319/2006 și H.G. 1425/2006.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307/2006.</w:t>
      </w:r>
    </w:p>
    <w:p>
      <w:pPr>
        <w:pStyle w:val="Normal"/>
        <w:widowControl/>
        <w:numPr>
          <w:ilvl w:val="0"/>
          <w:numId w:val="7"/>
        </w:numPr>
        <w:spacing w:before="0" w:after="40"/>
        <w:jc w:val="left"/>
        <w:rPr>
          <w:rFonts w:ascii="Arial" w:hAnsi="Arial" w:cs="Arial"/>
          <w:sz w:val="18"/>
          <w:szCs w:val="18"/>
          <w:lang w:val="ro-RO"/>
        </w:rPr>
      </w:pPr>
      <w:r>
        <w:rPr>
          <w:rFonts w:ascii="Arial" w:hAnsi="Arial" w:cs="Arial" w:eastAsia="Arial"/>
          <w:color w:val="auto"/>
          <w:sz w:val="20"/>
          <w:szCs w:val="20"/>
          <w:lang w:val="ro-RO"/>
        </w:rPr>
        <w:t xml:space="preserve">Angajatorul sau persoana desemnată de acesta are obligația de a întocmi tematicile anuale de instruire și de a efectua instructajele lucrătorilor în domeniul situațiilor de urgență, potrivit Dispozițiilor generale privind instruirea salariaților în domeniul situațiilor de urgență, aprobate prin OMAI 712/2005.</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Întocmirea/ 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 o) din Legea 307/2006.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nu este stabilit, deoarece unitatea are sub 10 lucrători (H.G. 1425/2006 – art. 53 alin. (2)).{{/workersRepresentativeDecision}}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1425/2006 –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1425/2006 –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Dacă este cazul,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este următoarea:</w:t>
      </w:r>
    </w:p>
    <w:p>
      <w:pPr>
        <w:pStyle w:val="Normal"/>
        <w:widowControl/>
        <w:numPr>
          <w:ilvl w:val="3"/>
          <w:numId w:val="7"/>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20"/>
          <w:szCs w:val="20"/>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etc.;</w:t>
      </w:r>
    </w:p>
    <w:p>
      <w:pPr>
        <w:pStyle w:val="Normal"/>
        <w:widowControl/>
        <w:numPr>
          <w:ilvl w:val="0"/>
          <w:numId w:val="50"/>
        </w:numPr>
        <w:spacing w:before="0" w:after="40"/>
        <w:ind w:hanging="360" w:left="1080" w:right="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20"/>
          <w:szCs w:val="20"/>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20"/>
          <w:szCs w:val="20"/>
          <w:lang w:val="es-ES"/>
        </w:rPr>
      </w:pPr>
      <w:r>
        <w:rPr>
          <w:rFonts w:eastAsia="Arial" w:cs="Arial" w:ascii="Arial" w:hAnsi="Arial"/>
          <w:color w:val="auto"/>
          <w:spacing w:val="0"/>
          <w:w w:val="100"/>
          <w:sz w:val="20"/>
          <w:szCs w:val="20"/>
          <w:lang w:val="ro-RO"/>
        </w:rPr>
        <w:t>anunțarea, organizarea concursurilor sau examenelor și selecția candidaților pentru posturile vacante;</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color w:val="auto"/>
          <w:spacing w:val="0"/>
          <w:w w:val="100"/>
          <w:sz w:val="20"/>
          <w:szCs w:val="20"/>
          <w:lang w:val="ro-RO"/>
        </w:rPr>
        <w:t xml:space="preserve">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20"/>
          <w:szCs w:val="20"/>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20"/>
          <w:szCs w:val="20"/>
          <w:lang w:val="it-CH"/>
        </w:rPr>
      </w:pPr>
      <w:r>
        <w:rPr>
          <w:rFonts w:eastAsia="Arial" w:cs="Arial" w:ascii="Arial" w:hAnsi="Arial"/>
          <w:color w:val="auto"/>
          <w:spacing w:val="0"/>
          <w:w w:val="100"/>
          <w:sz w:val="20"/>
          <w:szCs w:val="20"/>
          <w:lang w:val="ro-RO"/>
        </w:rPr>
        <w:t xml:space="preserve">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20"/>
          <w:szCs w:val="20"/>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vor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Salariatele gravide, lăuze sau care alăptează au următoarele obligații:</w:t>
      </w:r>
    </w:p>
    <w:p>
      <w:pPr>
        <w:pStyle w:val="Normal"/>
        <w:widowControl/>
        <w:numPr>
          <w:ilvl w:val="0"/>
          <w:numId w:val="43"/>
        </w:numPr>
        <w:spacing w:before="0" w:after="40"/>
        <w:ind w:hanging="360" w:left="1080"/>
        <w:jc w:val="left"/>
        <w:rPr>
          <w:rStyle w:val="tli1"/>
          <w:rFonts w:ascii="Arial" w:hAnsi="Arial" w:cs="Arial"/>
          <w:b/>
          <w:sz w:val="20"/>
          <w:szCs w:val="20"/>
          <w:lang w:val="it-CH"/>
        </w:rPr>
      </w:pPr>
      <w:r>
        <w:rPr>
          <w:rStyle w:val="tli1"/>
          <w:rFonts w:eastAsia="Arial" w:cs="Arial" w:ascii="Arial" w:hAnsi="Arial"/>
          <w:color w:val="auto"/>
          <w:spacing w:val="0"/>
          <w:w w:val="100"/>
          <w:sz w:val="20"/>
          <w:szCs w:val="20"/>
          <w:lang w:val="ro-RO"/>
        </w:rPr>
        <w:t xml:space="preserve">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20"/>
          <w:szCs w:val="20"/>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maximum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Pentru toate activitățile susceptibile să prezinte un risc specific de expunere la agenți, procedee și condiții de muncă, a căror listă este prevăzută în anexa nr. 1 din O.U.G. 96/2003,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vor informa în scris salariatele asupra rezultatelor evaluării privind riscurile la care pot fi supuse la locurile lor de muncă, precum și asupra drepturilor care decurg din O.U.G. 96/2003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În termen de 10 zile lucrătoare de la data la care angajatorul a fost anunțat în scris de către o salariată că se află în una dintre situațiile prevăzute la art. 2 lit. c)–e) din O.U.G. 96/2003, acesta</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20"/>
          <w:szCs w:val="20"/>
          <w:lang w:val="it-CH"/>
        </w:rPr>
      </w:pPr>
      <w:r>
        <w:rPr>
          <w:rStyle w:val="tal1"/>
          <w:rFonts w:eastAsia="Arial" w:cs="Arial" w:ascii="Arial" w:hAnsi="Arial"/>
          <w:color w:val="auto"/>
          <w:spacing w:val="0"/>
          <w:w w:val="100"/>
          <w:sz w:val="20"/>
          <w:szCs w:val="20"/>
          <w:lang w:val="ro-RO"/>
        </w:rPr>
        <w:t xml:space="preserve">să prevină expunerea salariatelor gravide, lăuze sau care alăptează la riscuri</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20"/>
          <w:szCs w:val="20"/>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20"/>
          <w:szCs w:val="20"/>
          <w:lang w:val="it-CH"/>
        </w:rPr>
      </w:pPr>
      <w:r>
        <w:rPr>
          <w:rStyle w:val="tpa1"/>
          <w:rFonts w:eastAsia="Arial" w:cs="Arial" w:ascii="Arial" w:hAnsi="Arial"/>
          <w:color w:val="auto"/>
          <w:spacing w:val="0"/>
          <w:w w:val="100"/>
          <w:sz w:val="20"/>
          <w:szCs w:val="20"/>
          <w:lang w:val="ro-RO"/>
        </w:rPr>
        <w:t>să păstreze confidențialitatea asupra stării de graviditate a salariatei și să nu anunțe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20"/>
          <w:szCs w:val="20"/>
          <w:lang w:val="it-CH"/>
        </w:rPr>
      </w:pPr>
      <w:r>
        <w:rPr>
          <w:rStyle w:val="tpa1"/>
          <w:rFonts w:eastAsia="Arial" w:cs="Arial" w:ascii="Arial" w:hAnsi="Arial"/>
          <w:color w:val="auto"/>
          <w:spacing w:val="0"/>
          <w:w w:val="100"/>
          <w:sz w:val="20"/>
          <w:szCs w:val="20"/>
          <w:lang w:val="ro-RO"/>
        </w:rPr>
        <w:t xml:space="preserve">să modifice locul de muncă al salariatelor gravide, lăuze sau care alăptează, care își</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20"/>
          <w:szCs w:val="20"/>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20"/>
          <w:szCs w:val="20"/>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20"/>
          <w:szCs w:val="20"/>
          <w:lang w:val="fr-FR"/>
        </w:rPr>
      </w:pPr>
      <w:r>
        <w:rPr>
          <w:rStyle w:val="tal1"/>
          <w:rFonts w:eastAsia="Arial" w:cs="Arial" w:ascii="Arial" w:hAnsi="Arial"/>
          <w:color w:val="auto"/>
          <w:spacing w:val="0"/>
          <w:w w:val="100"/>
          <w:sz w:val="20"/>
          <w:szCs w:val="20"/>
          <w:lang w:val="ro-RO"/>
        </w:rPr>
        <w:t xml:space="preserve">să transfere la un alt loc de muncă, cu menținerea salariului de bază brut lunar, salariatele gravide, lăuze sau care alăptează, care desfășoară</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gravide, lăuze sau care alăptează, care desfășoară</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 xml:space="preserve">să modifice în mod corespunzător condițiile și/ sau orarul de muncă ori să le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 xml:space="preserve">În cazul în care angajatorul, din motive justificate în mod obiectiv, nu poate să îndeplinească obligația prevăzută la art. 9 alin. (2) din O.U.G. 96/2003 (punctul 9 de mai sus), salariatele gravide, lăuze sau care alăptează au dreptul</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 xml:space="preserve">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20"/>
          <w:szCs w:val="20"/>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O.U.G. 158/2005, aprobată cu modificări și completări prin Legea 399/2006, cu modificările și completările ulterioare.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20"/>
        <w:szCs w:val="20"/>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Letter"/>
      <w:lvlText w:val="%3)"/>
      <w:lvlJc w:val="left"/>
      <w:pPr>
        <w:tabs>
          <w:tab w:val="num" w:pos="720"/>
        </w:tabs>
        <w:ind w:left="720" w:hanging="360"/>
      </w:pPr>
      <w:rPr>
        <w:b/>
        <w:i w:val="false"/>
        <w:sz w:val="20"/>
        <w:szCs w:val="20"/>
      </w:rPr>
    </w:lvl>
    <w:lvl w:ilvl="3">
      <w:start w:val="1"/>
      <w:numFmt w:val="lowerLetter"/>
      <w:lvlText w:val="%4)"/>
      <w:lvlJc w:val="left"/>
      <w:pPr>
        <w:tabs>
          <w:tab w:val="num" w:pos="720"/>
        </w:tabs>
        <w:ind w:left="720" w:hanging="360"/>
      </w:pPr>
      <w:rPr>
        <w:b/>
        <w:i w:val="false"/>
        <w:sz w:val="20"/>
        <w:szCs w:val="20"/>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20"/>
        <w:szCs w:val="20"/>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20"/>
        <w:szCs w:val="20"/>
        <w:lang w:val="it-IT"/>
      </w:rPr>
    </w:lvl>
    <w:lvl w:ilvl="3">
      <w:start w:val="1"/>
      <w:numFmt w:val="decimal"/>
      <w:lvlText w:val="%4."/>
      <w:lvlJc w:val="left"/>
      <w:pPr>
        <w:tabs>
          <w:tab w:val="num" w:pos="720"/>
        </w:tabs>
        <w:ind w:left="720" w:hanging="360"/>
      </w:pPr>
      <w:rPr>
        <w:b/>
        <w:i w:val="false"/>
        <w:sz w:val="20"/>
        <w:szCs w:val="20"/>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20"/>
        <w:szCs w:val="20"/>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20"/>
        <w:szCs w:val="20"/>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20"/>
        <w:szCs w:val="20"/>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20"/>
        <w:szCs w:val="20"/>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20"/>
        <w:szCs w:val="20"/>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20"/>
        <w:szCs w:val="20"/>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